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74"/>
      </w:pPr>
      <w:r/>
      <w:r/>
    </w:p>
    <w:p>
      <w:pPr>
        <w:pStyle w:val="1011"/>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bookmarkStart w:id="0" w:name="_Hlk213427092"/>
      <w:r>
        <w:rPr>
          <w:rFonts w:hint="eastAsia"/>
          <w:b/>
          <w:sz w:val="30"/>
          <w:szCs w:val="30"/>
        </w:rPr>
        <w:t xml:space="preserve">南京市公安局</w:t>
      </w:r>
      <w:r>
        <w:rPr>
          <w:rFonts w:hint="eastAsia"/>
          <w:b/>
          <w:sz w:val="32"/>
          <w:szCs w:val="32"/>
        </w:rPr>
        <w:t xml:space="preserve">江宁分局采购数据建模使用多模态推理一体机</w:t>
      </w:r>
      <w:bookmarkEnd w:id="0"/>
      <w:r/>
      <w:r/>
    </w:p>
    <w:p>
      <w:pPr>
        <w:ind w:firstLine="1506"/>
        <w:rPr>
          <w:b/>
          <w:sz w:val="30"/>
          <w:szCs w:val="30"/>
        </w:rPr>
      </w:pPr>
      <w:r>
        <w:rPr>
          <w:rFonts w:hint="eastAsia"/>
          <w:b/>
          <w:sz w:val="30"/>
          <w:szCs w:val="30"/>
        </w:rPr>
        <w:t xml:space="preserve">项目编号：</w:t>
      </w:r>
      <w:r>
        <w:rPr>
          <w:rFonts w:hint="eastAsia"/>
          <w:b/>
          <w:sz w:val="32"/>
          <w:szCs w:val="32"/>
        </w:rPr>
        <w:t xml:space="preserve"> JSZC-320115-JZCG-G2025-0088</w:t>
      </w:r>
      <w:r>
        <w:rPr>
          <w:rFonts w:hint="eastAsia"/>
          <w:b/>
          <w:sz w:val="30"/>
          <w:szCs w:val="30"/>
        </w:rPr>
        <w:t xml:space="preserve">              </w:t>
      </w:r>
      <w:r/>
    </w:p>
    <w:p>
      <w:pPr>
        <w:ind w:firstLine="3012"/>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1"/>
        <w:ind w:firstLine="0"/>
        <w:jc w:val="center"/>
        <w:rPr>
          <w:b/>
          <w:bCs/>
          <w:sz w:val="32"/>
        </w:rPr>
      </w:pPr>
      <w:r>
        <w:rPr>
          <w:rFonts w:hint="eastAsia"/>
          <w:b/>
          <w:bCs/>
          <w:sz w:val="32"/>
        </w:rPr>
        <w:t xml:space="preserve">南京市公共资源交易中心江宁分中心</w:t>
      </w:r>
      <w:r/>
    </w:p>
    <w:p>
      <w:pPr>
        <w:pStyle w:val="1011"/>
        <w:ind w:firstLine="0"/>
        <w:jc w:val="center"/>
        <w:rPr>
          <w:b/>
          <w:bCs/>
          <w:sz w:val="32"/>
        </w:rPr>
      </w:pPr>
      <w:r>
        <w:rPr>
          <w:rFonts w:hint="eastAsia"/>
          <w:b/>
          <w:bCs/>
          <w:sz w:val="32"/>
        </w:rPr>
        <w:t xml:space="preserve">2025年12月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1" w:name="_Toc120614210"/>
      <w:r/>
      <w:bookmarkStart w:id="2" w:name="_Toc523127445"/>
      <w:r/>
      <w:bookmarkStart w:id="3" w:name="_Toc20823272"/>
      <w:r/>
      <w:bookmarkStart w:id="4" w:name="_Toc479757206"/>
      <w:r/>
      <w:bookmarkStart w:id="5" w:name="_Toc16938516"/>
      <w:r/>
      <w:bookmarkStart w:id="6" w:name="_Toc513029200"/>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outlineLvl w:val="0"/>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投标邀请……………………………………</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投标人须知…………………………………</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color w:val="000000"/>
          <w:szCs w:val="21"/>
        </w:rPr>
        <w:outlineLvl w:val="0"/>
      </w:pPr>
      <w:r>
        <w:rPr>
          <w:rFonts w:hint="eastAsia" w:ascii="黑体" w:hAnsi="宋体" w:eastAsia="黑体"/>
          <w:sz w:val="36"/>
          <w:szCs w:val="21"/>
        </w:rPr>
        <w:t xml:space="preserve">投标文件格式………………………………</w:t>
      </w:r>
      <w:bookmarkEnd w:id="1"/>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7" w:name="_Toc28359079"/>
      <w:r/>
      <w:bookmarkStart w:id="8" w:name="_Toc35393621"/>
      <w:r/>
      <w:bookmarkStart w:id="9" w:name="_Hlk24379207"/>
      <w:r/>
      <w:bookmarkStart w:id="10" w:name="_Toc38985263"/>
      <w:r/>
      <w:bookmarkStart w:id="11" w:name="_Toc35393790"/>
      <w:r/>
      <w:bookmarkStart w:id="12" w:name="_Toc28359002"/>
      <w:r>
        <w:rPr>
          <w:rFonts w:hint="eastAsia" w:ascii="宋体" w:hAnsi="宋体"/>
          <w:sz w:val="24"/>
          <w:szCs w:val="24"/>
        </w:rPr>
        <w:t xml:space="preserve">受南京市公安局江宁分局（采购单位）委托，南京市公共资源交易中心江宁分中心（以下简称“交易中心”）就南京市公安局江宁分局采购数据建模使用多模态推理一体机（项目名称）进行公开招标采购，欢迎符合条件的供应商投标。</w:t>
      </w:r>
      <w:r/>
    </w:p>
    <w:p>
      <w:pPr>
        <w:pStyle w:val="929"/>
        <w:ind w:firstLine="465"/>
        <w:spacing w:before="145" w:after="145" w:line="264"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一、项目基本情况</w:t>
      </w:r>
      <w:bookmarkEnd w:id="7"/>
      <w:r/>
      <w:bookmarkEnd w:id="8"/>
      <w:r/>
      <w:bookmarkEnd w:id="9"/>
      <w:r/>
      <w:bookmarkEnd w:id="10"/>
      <w:r/>
      <w:bookmarkEnd w:id="11"/>
      <w:r/>
      <w:bookmarkEnd w:id="12"/>
      <w:r/>
      <w:r/>
    </w:p>
    <w:p>
      <w:pPr>
        <w:ind w:firstLine="480"/>
        <w:spacing w:line="264" w:lineRule="auto"/>
        <w:rPr>
          <w:rFonts w:hint="eastAsia" w:ascii="宋体" w:hAnsi="宋体"/>
          <w:sz w:val="24"/>
          <w:szCs w:val="24"/>
        </w:rPr>
      </w:pPr>
      <w:r/>
      <w:bookmarkStart w:id="13" w:name="_Toc35393622"/>
      <w:r/>
      <w:bookmarkStart w:id="14" w:name="_Toc28359003"/>
      <w:r/>
      <w:bookmarkStart w:id="15" w:name="_Toc28359080"/>
      <w:r/>
      <w:bookmarkStart w:id="16" w:name="_Toc38985264"/>
      <w:r/>
      <w:bookmarkStart w:id="17" w:name="_Toc35393791"/>
      <w:r>
        <w:rPr>
          <w:rFonts w:hint="eastAsia" w:ascii="宋体" w:hAnsi="宋体"/>
          <w:sz w:val="24"/>
          <w:szCs w:val="24"/>
        </w:rPr>
        <w:t xml:space="preserve">1.项目编号：JSZC-320115-JZCG-G2025-0088</w:t>
      </w:r>
      <w:r/>
    </w:p>
    <w:p>
      <w:pPr>
        <w:ind w:firstLine="480"/>
        <w:spacing w:line="264" w:lineRule="auto"/>
        <w:rPr>
          <w:rFonts w:hint="eastAsia" w:ascii="宋体" w:hAnsi="宋体"/>
          <w:sz w:val="24"/>
          <w:szCs w:val="24"/>
        </w:rPr>
      </w:pPr>
      <w:r>
        <w:rPr>
          <w:rFonts w:hint="eastAsia" w:ascii="宋体" w:hAnsi="宋体"/>
          <w:sz w:val="24"/>
          <w:szCs w:val="24"/>
        </w:rPr>
        <w:t xml:space="preserve">2.项目名称：南京市公安局江宁分局采购数据建模使用多模态推理一体机</w:t>
      </w:r>
      <w:r/>
    </w:p>
    <w:p>
      <w:pPr>
        <w:ind w:firstLine="480"/>
        <w:spacing w:line="264" w:lineRule="auto"/>
        <w:rPr>
          <w:rFonts w:hint="eastAsia" w:ascii="宋体" w:hAnsi="宋体"/>
          <w:sz w:val="24"/>
          <w:szCs w:val="24"/>
        </w:rPr>
      </w:pPr>
      <w:r>
        <w:rPr>
          <w:rFonts w:hint="eastAsia" w:ascii="宋体" w:hAnsi="宋体"/>
          <w:sz w:val="24"/>
          <w:szCs w:val="24"/>
        </w:rPr>
        <w:t xml:space="preserve">3.预算金额：300万元</w:t>
      </w:r>
      <w:r/>
    </w:p>
    <w:p>
      <w:pPr>
        <w:ind w:firstLine="480"/>
        <w:spacing w:line="252"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最高限价：本项目不设最高限价，但投标人投标报价不得超过预算金额。</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根据南京市公安局江宁分局业务警种实战需求，充分利用视图和警务数据进行推理建模，并与现有警务相关业务平台进行对接（主要是接收视图库推送的视频、人脸或车辆数据，通过多模态推理一体化集成设备建模训练后，</w:t>
      </w:r>
      <w:bookmarkStart w:id="18" w:name="OLE_LINK3"/>
      <w:r>
        <w:rPr>
          <w:rFonts w:hint="eastAsia" w:ascii="宋体" w:hAnsi="宋体"/>
          <w:sz w:val="24"/>
          <w:szCs w:val="24"/>
        </w:rPr>
        <w:t xml:space="preserve">将相关数据推送给智慧警务平台和视频人像大数据平台实现业务应用</w:t>
      </w:r>
      <w:bookmarkEnd w:id="18"/>
      <w:r>
        <w:rPr>
          <w:rFonts w:hint="eastAsia" w:ascii="宋体" w:hAnsi="宋体"/>
          <w:sz w:val="24"/>
          <w:szCs w:val="24"/>
        </w:rPr>
        <w:t xml:space="preserve">。视图库、视频人像大数据平台、智慧警务平台由江苏东大金智信息系统有限公司开发及运维，</w:t>
      </w:r>
      <w:bookmarkStart w:id="19" w:name="OLE_LINK5"/>
      <w:r>
        <w:rPr>
          <w:rFonts w:hint="eastAsia" w:ascii="宋体" w:hAnsi="宋体"/>
          <w:sz w:val="24"/>
          <w:szCs w:val="24"/>
        </w:rPr>
        <w:t xml:space="preserve">采购人负责与目前的开发及运维单位进行沟通，中标人负责落实接收数据、建模训练、推送数据</w:t>
      </w:r>
      <w:bookmarkEnd w:id="19"/>
      <w:r>
        <w:rPr>
          <w:rFonts w:hint="eastAsia" w:ascii="宋体" w:hAnsi="宋体"/>
          <w:sz w:val="24"/>
          <w:szCs w:val="24"/>
        </w:rPr>
        <w:t xml:space="preserve">），满足当前一线警务应用要求。</w:t>
      </w:r>
      <w:r>
        <w:rPr>
          <w:rFonts w:hint="eastAsia" w:ascii="宋体" w:hAnsi="宋体" w:cs="宋体"/>
          <w:sz w:val="24"/>
          <w:szCs w:val="24"/>
        </w:rPr>
        <w:t xml:space="preserve">（详细内容见本招标文件第四章） </w:t>
      </w:r>
      <w:r/>
    </w:p>
    <w:p>
      <w:pPr>
        <w:ind w:firstLine="480"/>
        <w:spacing w:line="264" w:lineRule="auto"/>
        <w:rPr>
          <w:rFonts w:hint="eastAsia" w:ascii="宋体" w:hAnsi="宋体" w:eastAsia="宋体" w:cs="宋体"/>
          <w:sz w:val="24"/>
          <w:szCs w:val="24"/>
          <w:lang w:eastAsia="zh-CN"/>
        </w:rPr>
      </w:pPr>
      <w:r>
        <w:rPr>
          <w:rFonts w:hint="eastAsia" w:ascii="宋体" w:hAnsi="宋体"/>
          <w:sz w:val="24"/>
          <w:szCs w:val="24"/>
        </w:rPr>
        <w:t xml:space="preserve">6.合同履行期限：中标后10日内签订合同，合同签订后20日内交货，</w:t>
      </w:r>
      <w:r>
        <w:rPr>
          <w:rFonts w:hint="eastAsia" w:ascii="宋体" w:hAnsi="宋体" w:cs="宋体"/>
          <w:sz w:val="24"/>
          <w:szCs w:val="24"/>
        </w:rPr>
        <w:t xml:space="preserve">整机质保（含换件和维修）不少于2年</w:t>
      </w:r>
      <w:r>
        <w:rPr>
          <w:rFonts w:hint="eastAsia" w:ascii="宋体" w:hAnsi="宋体" w:cs="宋体"/>
          <w:sz w:val="24"/>
          <w:szCs w:val="24"/>
          <w:lang w:eastAsia="zh-CN"/>
        </w:rPr>
        <w:t xml:space="preserve">（</w:t>
      </w:r>
      <w:r>
        <w:rPr>
          <w:rFonts w:hint="eastAsia" w:ascii="宋体" w:hAnsi="宋体"/>
          <w:sz w:val="24"/>
          <w:szCs w:val="24"/>
        </w:rPr>
        <w:t xml:space="preserve">自验收报告签字确认之日起开始进入质保期</w:t>
      </w:r>
      <w:r>
        <w:rPr>
          <w:rFonts w:hint="eastAsia" w:ascii="宋体" w:hAnsi="宋体"/>
          <w:sz w:val="24"/>
          <w:szCs w:val="24"/>
          <w:lang w:eastAsia="zh-CN"/>
        </w:rPr>
        <w:t xml:space="preserve">）。</w:t>
      </w:r>
      <w:r/>
    </w:p>
    <w:p>
      <w:pPr>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8.本项目不接受联合体投标。</w:t>
      </w:r>
      <w:r/>
    </w:p>
    <w:p>
      <w:pPr>
        <w:pStyle w:val="929"/>
        <w:ind w:firstLine="465"/>
        <w:spacing w:before="145" w:after="145" w:line="264"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二、申请人的资格要求</w:t>
      </w:r>
      <w:bookmarkEnd w:id="13"/>
      <w:r/>
      <w:bookmarkEnd w:id="14"/>
      <w:r/>
      <w:bookmarkEnd w:id="15"/>
      <w:r/>
      <w:bookmarkEnd w:id="16"/>
      <w:r/>
      <w:bookmarkEnd w:id="17"/>
      <w:r/>
      <w:r/>
    </w:p>
    <w:p>
      <w:pPr>
        <w:ind w:firstLine="480"/>
        <w:spacing w:line="264" w:lineRule="auto"/>
        <w:rPr>
          <w:rFonts w:hint="eastAsia" w:ascii="宋体" w:hAnsi="宋体" w:cs="宋体"/>
          <w:sz w:val="24"/>
          <w:szCs w:val="24"/>
        </w:rPr>
      </w:pPr>
      <w:r/>
      <w:bookmarkStart w:id="20" w:name="_Toc28359081"/>
      <w:r/>
      <w:bookmarkStart w:id="21" w:name="_Toc38985265"/>
      <w:r/>
      <w:bookmarkStart w:id="22" w:name="_Toc35393623"/>
      <w:r/>
      <w:bookmarkStart w:id="23" w:name="_Toc28359004"/>
      <w:r/>
      <w:bookmarkStart w:id="24" w:name="_Toc35393792"/>
      <w:r>
        <w:rPr>
          <w:rFonts w:hint="eastAsia" w:ascii="宋体" w:hAnsi="宋体" w:cs="宋体"/>
          <w:sz w:val="24"/>
          <w:szCs w:val="24"/>
        </w:rPr>
        <w:t xml:space="preserve">（一）通用资格要求</w:t>
      </w:r>
      <w:r/>
    </w:p>
    <w:p>
      <w:pPr>
        <w:ind w:firstLine="480"/>
        <w:spacing w:line="264"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sz w:val="24"/>
          <w:szCs w:val="24"/>
        </w:rPr>
      </w:pPr>
      <w:r>
        <w:rPr>
          <w:rFonts w:hint="eastAsia" w:ascii="宋体" w:hAnsi="宋体"/>
          <w:sz w:val="24"/>
          <w:szCs w:val="24"/>
        </w:rPr>
        <w:t xml:space="preserve">2.落实政府采购政策需满足的资格要求：无</w:t>
      </w:r>
      <w:r/>
    </w:p>
    <w:p>
      <w:pPr>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sz w:val="24"/>
          <w:szCs w:val="24"/>
          <w:lang w:val="zh-CN"/>
        </w:rPr>
      </w:pPr>
      <w:r>
        <w:rPr>
          <w:rFonts w:hint="eastAsia" w:ascii="宋体" w:hAnsi="宋体" w:cs="宋体"/>
          <w:sz w:val="24"/>
          <w:szCs w:val="24"/>
        </w:rPr>
        <w:t xml:space="preserve">（二）本项目特定资格要求：</w:t>
      </w:r>
      <w:r>
        <w:rPr>
          <w:rFonts w:hint="eastAsia" w:ascii="宋体" w:hAnsi="宋体"/>
          <w:sz w:val="24"/>
          <w:szCs w:val="24"/>
          <w:lang w:val="zh-CN"/>
        </w:rPr>
        <w:t xml:space="preserve">无</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29"/>
        <w:ind w:firstLine="465"/>
        <w:spacing w:before="145" w:after="145" w:line="264"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20"/>
      <w:r/>
      <w:bookmarkEnd w:id="21"/>
      <w:r/>
      <w:bookmarkEnd w:id="22"/>
      <w:r/>
      <w:bookmarkEnd w:id="23"/>
      <w:r/>
      <w:bookmarkEnd w:id="24"/>
      <w:r/>
      <w:r/>
    </w:p>
    <w:p>
      <w:pPr>
        <w:ind w:firstLine="480"/>
        <w:spacing w:line="264" w:lineRule="auto"/>
        <w:rPr>
          <w:rFonts w:hint="eastAsia" w:ascii="宋体" w:hAnsi="宋体" w:cs="宋体"/>
          <w:sz w:val="24"/>
          <w:szCs w:val="24"/>
        </w:rPr>
      </w:pPr>
      <w:r/>
      <w:bookmarkStart w:id="25" w:name="_Toc28359005"/>
      <w:r/>
      <w:bookmarkStart w:id="26" w:name="_Toc28359082"/>
      <w:r/>
      <w:bookmarkStart w:id="27" w:name="_Toc35393624"/>
      <w:r/>
      <w:bookmarkStart w:id="28" w:name="_Toc38985266"/>
      <w:r/>
      <w:bookmarkStart w:id="29" w:name="_Toc35393793"/>
      <w:r>
        <w:rPr>
          <w:rFonts w:hint="eastAsia" w:ascii="宋体" w:hAnsi="宋体" w:cs="宋体"/>
          <w:sz w:val="24"/>
          <w:szCs w:val="24"/>
        </w:rPr>
        <w:t xml:space="preserve">1.时间：自招标文件公告发布之日起。</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29"/>
        <w:ind w:firstLine="465"/>
        <w:spacing w:before="145" w:after="145"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lang w:eastAsia="zh-CN"/>
        </w:rPr>
        <w:t xml:space="preserve">四、提交投标文件</w:t>
      </w:r>
      <w:bookmarkEnd w:id="25"/>
      <w:r/>
      <w:bookmarkEnd w:id="26"/>
      <w:r>
        <w:rPr>
          <w:rFonts w:hint="eastAsia" w:ascii="方正黑体_GBK" w:hAnsi="方正黑体_GBK" w:eastAsia="方正黑体_GBK" w:cs="方正黑体_GBK"/>
          <w:b w:val="0"/>
          <w:bCs w:val="0"/>
          <w:sz w:val="30"/>
          <w:szCs w:val="30"/>
          <w:lang w:eastAsia="zh-CN"/>
        </w:rPr>
        <w:t xml:space="preserve">截止时间、</w:t>
      </w:r>
      <w:r>
        <w:rPr>
          <w:rFonts w:hint="eastAsia" w:ascii="方正黑体_GBK" w:hAnsi="方正黑体_GBK" w:eastAsia="方正黑体_GBK" w:cs="方正黑体_GBK"/>
          <w:b w:val="0"/>
          <w:bCs w:val="0"/>
          <w:sz w:val="30"/>
          <w:szCs w:val="30"/>
          <w:highlight w:val="none"/>
          <w:lang w:eastAsia="zh-CN"/>
        </w:rPr>
        <w:t xml:space="preserve">开标时间和地点</w:t>
      </w:r>
      <w:bookmarkEnd w:id="27"/>
      <w:r>
        <w:rPr>
          <w:highlight w:val="none"/>
        </w:rPr>
      </w:r>
      <w:bookmarkEnd w:id="28"/>
      <w:r>
        <w:rPr>
          <w:highlight w:val="none"/>
        </w:rPr>
      </w:r>
      <w:bookmarkEnd w:id="29"/>
      <w:r>
        <w:rPr>
          <w:highlight w:val="none"/>
        </w:rPr>
      </w:r>
      <w:r/>
    </w:p>
    <w:p>
      <w:pPr>
        <w:ind w:firstLine="480"/>
        <w:spacing w:line="264" w:lineRule="auto"/>
        <w:rPr>
          <w:rFonts w:hint="eastAsia" w:ascii="宋体" w:hAnsi="宋体"/>
          <w:bCs/>
          <w:sz w:val="24"/>
          <w:szCs w:val="24"/>
          <w:highlight w:val="none"/>
          <w:u w:val="single"/>
        </w:rPr>
      </w:pPr>
      <w:r>
        <w:rPr>
          <w:highlight w:val="none"/>
        </w:rPr>
      </w:r>
      <w:bookmarkStart w:id="30" w:name="_Toc35393625"/>
      <w:r>
        <w:rPr>
          <w:highlight w:val="none"/>
        </w:rPr>
      </w:r>
      <w:bookmarkStart w:id="31" w:name="_Toc28359007"/>
      <w:r>
        <w:rPr>
          <w:highlight w:val="none"/>
        </w:rPr>
      </w:r>
      <w:bookmarkStart w:id="32" w:name="_Toc28359084"/>
      <w:r>
        <w:rPr>
          <w:highlight w:val="none"/>
        </w:rPr>
      </w:r>
      <w:bookmarkStart w:id="33" w:name="_Toc38985267"/>
      <w:r>
        <w:rPr>
          <w:highlight w:val="none"/>
        </w:rPr>
      </w:r>
      <w:bookmarkStart w:id="34" w:name="_Toc35393794"/>
      <w:r>
        <w:rPr>
          <w:rFonts w:hint="eastAsia" w:ascii="宋体" w:hAnsi="宋体" w:cs="宋体"/>
          <w:sz w:val="24"/>
          <w:szCs w:val="24"/>
          <w:highlight w:val="none"/>
        </w:rPr>
        <w:t xml:space="preserve">1.提交投标文件截止时间、开标时间：</w:t>
      </w:r>
      <w:r>
        <w:rPr>
          <w:rFonts w:hint="eastAsia" w:ascii="宋体" w:hAnsi="宋体" w:cs="宋体"/>
          <w:bCs/>
          <w:sz w:val="24"/>
          <w:szCs w:val="24"/>
          <w:highlight w:val="none"/>
        </w:rPr>
        <w:t xml:space="preserve">20</w:t>
      </w:r>
      <w:r>
        <w:rPr>
          <w:rFonts w:hint="eastAsia" w:ascii="宋体" w:hAnsi="宋体" w:cs="宋体"/>
          <w:sz w:val="24"/>
          <w:szCs w:val="24"/>
          <w:highlight w:val="none"/>
        </w:rPr>
        <w:t xml:space="preserve">25</w:t>
      </w:r>
      <w:r>
        <w:rPr>
          <w:rFonts w:hint="eastAsia" w:ascii="宋体" w:hAnsi="宋体"/>
          <w:bCs/>
          <w:sz w:val="24"/>
          <w:szCs w:val="24"/>
          <w:highlight w:val="none"/>
        </w:rPr>
        <w:t xml:space="preserve">年</w:t>
      </w:r>
      <w:r>
        <w:rPr>
          <w:rFonts w:hint="eastAsia" w:ascii="宋体" w:hAnsi="宋体" w:cs="宋体"/>
          <w:sz w:val="24"/>
          <w:szCs w:val="24"/>
          <w:highlight w:val="none"/>
        </w:rPr>
        <w:t xml:space="preserve">12月</w:t>
      </w:r>
      <w:r>
        <w:rPr>
          <w:rFonts w:hint="eastAsia" w:ascii="宋体" w:hAnsi="宋体" w:cs="宋体"/>
          <w:sz w:val="24"/>
          <w:szCs w:val="24"/>
          <w:highlight w:val="none"/>
          <w:lang w:val="en-US" w:eastAsia="zh-CN"/>
        </w:rPr>
        <w:t xml:space="preserve">25</w:t>
      </w:r>
      <w:r>
        <w:rPr>
          <w:rFonts w:hint="eastAsia" w:ascii="宋体" w:hAnsi="宋体" w:cs="宋体"/>
          <w:sz w:val="24"/>
          <w:szCs w:val="24"/>
          <w:highlight w:val="none"/>
        </w:rPr>
        <w:t xml:space="preserve">日14时00分（</w:t>
      </w:r>
      <w:r>
        <w:rPr>
          <w:rFonts w:hint="eastAsia" w:ascii="宋体" w:hAnsi="宋体"/>
          <w:bCs/>
          <w:sz w:val="24"/>
          <w:szCs w:val="24"/>
          <w:highlight w:val="none"/>
        </w:rPr>
        <w:t xml:space="preserve">北京时间）</w:t>
      </w:r>
      <w:r>
        <w:rPr>
          <w:rFonts w:hint="eastAsia" w:ascii="宋体" w:hAnsi="宋体"/>
          <w:bCs/>
          <w:sz w:val="24"/>
          <w:szCs w:val="24"/>
          <w:highlight w:val="none"/>
        </w:rPr>
        <w:t xml:space="preserve">。</w:t>
      </w:r>
      <w:r>
        <w:rPr>
          <w:highlight w:val="none"/>
        </w:rPr>
      </w:r>
      <w:r/>
    </w:p>
    <w:p>
      <w:pPr>
        <w:ind w:firstLine="480"/>
        <w:spacing w:line="264" w:lineRule="auto"/>
        <w:rPr>
          <w:rFonts w:hint="eastAsia" w:ascii="宋体" w:hAnsi="宋体"/>
          <w:bCs/>
          <w:sz w:val="24"/>
          <w:szCs w:val="24"/>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rPr>
          <w:rFonts w:hint="eastAsia" w:ascii="宋体" w:hAnsi="宋体" w:cs="宋体"/>
          <w:sz w:val="24"/>
          <w:szCs w:val="24"/>
        </w:rPr>
        <w:t xml:space="preserve">。</w:t>
      </w:r>
      <w:r/>
    </w:p>
    <w:p>
      <w:pPr>
        <w:pStyle w:val="929"/>
        <w:ind w:firstLine="465"/>
        <w:spacing w:before="145" w:after="145" w:line="264"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五、公告期限</w:t>
      </w:r>
      <w:bookmarkEnd w:id="30"/>
      <w:r/>
      <w:bookmarkEnd w:id="31"/>
      <w:r/>
      <w:bookmarkEnd w:id="32"/>
      <w:r/>
      <w:bookmarkEnd w:id="33"/>
      <w:r/>
      <w:bookmarkEnd w:id="34"/>
      <w:r/>
      <w:r/>
    </w:p>
    <w:p>
      <w:pPr>
        <w:ind w:firstLine="480"/>
        <w:spacing w:line="264" w:lineRule="auto"/>
        <w:rPr>
          <w:rFonts w:hint="eastAsia" w:ascii="宋体" w:hAnsi="宋体" w:cs="宋体"/>
          <w:sz w:val="24"/>
          <w:szCs w:val="24"/>
        </w:rPr>
      </w:pPr>
      <w:r/>
      <w:bookmarkStart w:id="35" w:name="_Toc35393626"/>
      <w:r/>
      <w:bookmarkStart w:id="36" w:name="_Toc38985268"/>
      <w:r/>
      <w:bookmarkStart w:id="37" w:name="_Toc35393795"/>
      <w:r>
        <w:rPr>
          <w:rFonts w:hint="eastAsia" w:ascii="宋体" w:hAnsi="宋体" w:cs="宋体"/>
          <w:sz w:val="24"/>
          <w:szCs w:val="24"/>
        </w:rPr>
        <w:t xml:space="preserve">公告期限为自本公告发布之日起5个工作日。</w:t>
      </w:r>
      <w:r/>
    </w:p>
    <w:p>
      <w:pPr>
        <w:pStyle w:val="929"/>
        <w:ind w:firstLine="498"/>
        <w:spacing w:before="145" w:after="145" w:line="264" w:lineRule="auto"/>
        <w:rPr>
          <w:lang w:eastAsia="zh-CN"/>
        </w:rPr>
      </w:pPr>
      <w:r>
        <w:rPr>
          <w:rFonts w:hint="eastAsia"/>
          <w:lang w:eastAsia="zh-CN"/>
        </w:rPr>
        <w:t xml:space="preserve">六、其他事宜</w:t>
      </w:r>
      <w:bookmarkEnd w:id="35"/>
      <w:r/>
      <w:bookmarkEnd w:id="36"/>
      <w:r/>
      <w:bookmarkEnd w:id="37"/>
      <w:r/>
      <w:r/>
    </w:p>
    <w:p>
      <w:pPr>
        <w:ind w:firstLine="480"/>
        <w:spacing w:line="264" w:lineRule="auto"/>
        <w:tabs>
          <w:tab w:val="left" w:pos="900" w:leader="none"/>
        </w:tabs>
        <w:rPr>
          <w:rFonts w:hint="eastAsia" w:ascii="宋体" w:hAnsi="宋体"/>
          <w:bCs/>
          <w:sz w:val="24"/>
          <w:szCs w:val="24"/>
        </w:rPr>
      </w:pPr>
      <w:r/>
      <w:bookmarkStart w:id="38" w:name="_Toc35393627"/>
      <w:r/>
      <w:bookmarkStart w:id="39" w:name="_Toc28359085"/>
      <w:r/>
      <w:bookmarkStart w:id="40" w:name="_Toc35393796"/>
      <w:r/>
      <w:bookmarkStart w:id="41" w:name="_Toc38985269"/>
      <w:r/>
      <w:bookmarkStart w:id="42"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 本项目组织集中勘察及答疑，供应商代表携带加盖单位公章的营业执照复印件、法定代表人授权委托书、身份证参加。现场填写本项目签到表，投标供</w:t>
      </w:r>
      <w:r>
        <w:rPr>
          <w:rFonts w:hint="eastAsia" w:ascii="宋体" w:hAnsi="宋体" w:cs="宋体"/>
          <w:sz w:val="24"/>
          <w:szCs w:val="24"/>
          <w:highlight w:val="none"/>
        </w:rPr>
        <w:t xml:space="preserve">应商方可开展现场踏勘（机房部署环境）和接入数据及对接接口的答疑工作。签到开始时间:</w:t>
      </w:r>
      <w:r>
        <w:rPr>
          <w:rFonts w:hint="eastAsia" w:ascii="宋体" w:hAnsi="宋体" w:cs="宋体"/>
          <w:sz w:val="24"/>
          <w:szCs w:val="24"/>
          <w:highlight w:val="none"/>
        </w:rPr>
        <w:t xml:space="preserve">2025年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日10时00分，签到截止时间:2025年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日10时30分</w:t>
      </w:r>
      <w:r>
        <w:rPr>
          <w:rFonts w:hint="eastAsia" w:ascii="宋体" w:hAnsi="宋体" w:cs="宋体"/>
          <w:sz w:val="24"/>
          <w:szCs w:val="24"/>
          <w:highlight w:val="none"/>
        </w:rPr>
        <w:t xml:space="preserve">，地址:南京市江宁区天印大道</w:t>
      </w:r>
      <w:r>
        <w:rPr>
          <w:rFonts w:hint="eastAsia" w:ascii="宋体" w:hAnsi="宋体" w:cs="宋体"/>
          <w:sz w:val="24"/>
          <w:szCs w:val="24"/>
        </w:rPr>
        <w:t xml:space="preserve">2020号，联系人:郭警官，联系电话:025-84951118。</w:t>
      </w:r>
      <w:r>
        <w:rPr>
          <w:rFonts w:hint="eastAsia" w:ascii="宋体" w:hAnsi="宋体" w:cs="宋体"/>
          <w:sz w:val="24"/>
        </w:rPr>
        <w:t xml:space="preserve">未参加答疑的投标人中标后，不得以不完全了解项目情况为理由而向招标人提出任何索赔或其他要求，对此招标人不承担任何责任并将不作任何答复。</w:t>
      </w:r>
      <w:r/>
    </w:p>
    <w:p>
      <w:pPr>
        <w:ind w:firstLine="480"/>
        <w:spacing w:line="264" w:lineRule="auto"/>
        <w:rPr>
          <w:rFonts w:hint="eastAsia" w:ascii="宋体" w:hAnsi="宋体" w:cs="宋体"/>
          <w:sz w:val="24"/>
          <w:szCs w:val="24"/>
          <w:highlight w:val="none"/>
        </w:rPr>
      </w:pPr>
      <w:r>
        <w:rPr>
          <w:rFonts w:hint="eastAsia" w:ascii="宋体" w:hAnsi="宋体" w:cs="宋体"/>
          <w:sz w:val="24"/>
          <w:szCs w:val="24"/>
        </w:rPr>
        <w:t xml:space="preserve">3.</w:t>
      </w:r>
      <w:r>
        <w:rPr>
          <w:rFonts w:hint="eastAsia" w:ascii="宋体" w:hAnsi="宋体" w:cs="宋体"/>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w:t>
      </w:r>
      <w:r>
        <w:rPr>
          <w:rFonts w:hint="eastAsia" w:ascii="宋体" w:hAnsi="宋体" w:cs="宋体"/>
          <w:sz w:val="24"/>
          <w:highlight w:val="none"/>
        </w:rPr>
        <w:t xml:space="preserve">3454aa2b0d9312230633ce9.html</w:t>
      </w:r>
      <w:r>
        <w:rPr>
          <w:highlight w:val="none"/>
        </w:rPr>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rPr>
          <w:highlight w:val="none"/>
        </w:rPr>
      </w:r>
      <w:r/>
    </w:p>
    <w:p>
      <w:pPr>
        <w:ind w:firstLine="482"/>
        <w:spacing w:line="252"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w:t>
      </w:r>
      <w:r>
        <w:rPr>
          <w:rFonts w:hint="eastAsia" w:ascii="宋体" w:hAnsi="宋体" w:cs="宋体"/>
          <w:b/>
          <w:bCs/>
          <w:sz w:val="24"/>
          <w:szCs w:val="24"/>
          <w:highlight w:val="none"/>
          <w:lang w:val="zh-CN"/>
        </w:rPr>
        <w:t xml:space="preserve">供应商（含潜在供应商）对采购方式、采购需求、供应商资格条件及审查结果、评标方法和评标标准、合同文本的询问、质疑向采购人提出，</w:t>
      </w:r>
      <w:r>
        <w:rPr>
          <w:rFonts w:hint="eastAsia" w:ascii="宋体" w:hAnsi="宋体" w:cs="宋体"/>
          <w:b/>
          <w:bCs/>
          <w:sz w:val="24"/>
          <w:szCs w:val="24"/>
          <w:highlight w:val="none"/>
        </w:rPr>
        <w:t xml:space="preserve">由采购人负责答复。</w:t>
      </w:r>
      <w:r>
        <w:rPr>
          <w:rFonts w:hint="eastAsia" w:ascii="宋体" w:hAnsi="宋体" w:cs="宋体"/>
          <w:b/>
          <w:bCs/>
          <w:sz w:val="24"/>
          <w:szCs w:val="24"/>
          <w:highlight w:val="none"/>
          <w:lang w:val="zh-CN"/>
        </w:rPr>
        <w:t xml:space="preserve">供应商对除上述事项以外其他事项的询问、质疑向交易中心提出，由交易中心负责答复。</w:t>
      </w:r>
      <w:r>
        <w:rPr>
          <w:highlight w:val="none"/>
        </w:rPr>
      </w:r>
      <w:r/>
    </w:p>
    <w:p>
      <w:pPr>
        <w:ind w:firstLine="482"/>
        <w:spacing w:line="252" w:lineRule="auto"/>
        <w:rPr>
          <w:rFonts w:hint="eastAsia" w:ascii="宋体" w:hAnsi="宋体" w:cs="宋体"/>
          <w:b/>
          <w:bCs/>
          <w:sz w:val="24"/>
          <w:szCs w:val="24"/>
          <w:highlight w:val="none"/>
        </w:rPr>
      </w:pPr>
      <w:r>
        <w:rPr>
          <w:rFonts w:hint="eastAsia" w:ascii="宋体" w:hAnsi="宋体" w:cs="宋体"/>
          <w:b/>
          <w:bCs/>
          <w:sz w:val="24"/>
          <w:szCs w:val="24"/>
          <w:highlight w:val="none"/>
          <w:lang w:val="zh-CN"/>
        </w:rPr>
        <w:t xml:space="preserve">供应商提出质疑应提交《质疑函》原件，且尽可能通过邮寄方式送达，交易中心和采购人不接受无运单的快件。</w:t>
      </w:r>
      <w:r>
        <w:rPr>
          <w:highlight w:val="none"/>
        </w:rPr>
      </w:r>
      <w:r/>
    </w:p>
    <w:p>
      <w:pPr>
        <w:pStyle w:val="929"/>
        <w:ind w:firstLine="465"/>
        <w:spacing w:before="145" w:after="145"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lang w:eastAsia="zh-CN"/>
        </w:rPr>
        <w:t xml:space="preserve">七、本次招标联系方式</w:t>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1.采购人</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名  称：</w:t>
      </w:r>
      <w:r>
        <w:rPr>
          <w:rFonts w:hint="eastAsia" w:ascii="宋体" w:hAnsi="宋体"/>
          <w:sz w:val="24"/>
          <w:szCs w:val="24"/>
        </w:rPr>
        <w:t xml:space="preserve">南京市公安局江宁分局</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地  址：</w:t>
      </w:r>
      <w:r>
        <w:rPr>
          <w:rFonts w:hint="eastAsia" w:ascii="宋体" w:hAnsi="宋体" w:cs="宋体"/>
          <w:sz w:val="24"/>
        </w:rPr>
        <w:t xml:space="preserve">江苏省南京市江宁区天印大道2020号</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联系人：郭宇</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联系电话：</w:t>
      </w:r>
      <w:bookmarkStart w:id="43" w:name="_Toc28359009"/>
      <w:r/>
      <w:bookmarkStart w:id="44" w:name="_Toc28359086"/>
      <w:r>
        <w:rPr>
          <w:rFonts w:hint="eastAsia" w:ascii="宋体" w:hAnsi="宋体" w:cs="宋体"/>
          <w:sz w:val="24"/>
          <w:szCs w:val="24"/>
        </w:rPr>
        <w:t xml:space="preserve">025-</w:t>
      </w:r>
      <w:r>
        <w:t xml:space="preserve"> </w:t>
      </w:r>
      <w:r>
        <w:rPr>
          <w:rFonts w:ascii="宋体" w:hAnsi="宋体" w:cs="宋体"/>
          <w:sz w:val="24"/>
          <w:szCs w:val="24"/>
        </w:rPr>
        <w:t xml:space="preserve">8495</w:t>
      </w:r>
      <w:r>
        <w:rPr>
          <w:rFonts w:hint="eastAsia" w:ascii="宋体" w:hAnsi="宋体" w:cs="宋体"/>
          <w:sz w:val="24"/>
          <w:szCs w:val="24"/>
        </w:rPr>
        <w:t xml:space="preserve">1118</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2.交易中心</w:t>
      </w:r>
      <w:bookmarkEnd w:id="43"/>
      <w:r/>
      <w:bookmarkEnd w:id="44"/>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地　址：南京市江宁区杨家圩路2号</w:t>
      </w:r>
      <w:r>
        <w:rPr>
          <w:rFonts w:ascii="宋体" w:hAnsi="宋体" w:cs="宋体"/>
          <w:color w:val="000000"/>
          <w:sz w:val="24"/>
        </w:rPr>
        <w:t xml:space="preserve">江宁市民中心</w:t>
      </w:r>
      <w:r>
        <w:rPr>
          <w:rFonts w:hint="eastAsia" w:ascii="宋体" w:hAnsi="宋体"/>
          <w:bCs/>
          <w:sz w:val="24"/>
          <w:szCs w:val="24"/>
        </w:rPr>
        <w:t xml:space="preserve">A区3楼</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联系人：庄瑞琦</w:t>
      </w:r>
      <w:r/>
    </w:p>
    <w:p>
      <w:pPr>
        <w:ind w:firstLine="480"/>
        <w:spacing w:line="264" w:lineRule="auto"/>
        <w:tabs>
          <w:tab w:val="left" w:pos="900" w:leader="none"/>
        </w:tabs>
        <w:rPr>
          <w:rFonts w:hint="eastAsia" w:ascii="宋体" w:hAnsi="宋体"/>
          <w:bCs/>
          <w:sz w:val="24"/>
          <w:szCs w:val="24"/>
        </w:rPr>
      </w:pPr>
      <w:r>
        <w:rPr>
          <w:rFonts w:hint="eastAsia" w:ascii="宋体" w:hAnsi="宋体"/>
          <w:bCs/>
          <w:sz w:val="24"/>
          <w:szCs w:val="24"/>
        </w:rPr>
        <w:t xml:space="preserve">联系电话：025-69613982</w:t>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2"/>
      <w:r/>
      <w:bookmarkEnd w:id="3"/>
      <w:r/>
      <w:bookmarkEnd w:id="4"/>
      <w:r/>
      <w:bookmarkEnd w:id="5"/>
      <w:r/>
      <w:bookmarkEnd w:id="6"/>
      <w:r/>
      <w:bookmarkStart w:id="45" w:name="_Toc120614211"/>
      <w:r/>
      <w:bookmarkStart w:id="46" w:name="_Toc479757207"/>
      <w:r/>
      <w:bookmarkStart w:id="47" w:name="_Toc20823314"/>
      <w:r/>
      <w:bookmarkStart w:id="48" w:name="_Toc16938558"/>
      <w:r/>
      <w:bookmarkStart w:id="49" w:name="_Toc120614221"/>
      <w:r/>
      <w:bookmarkStart w:id="50" w:name="_Toc513029242"/>
      <w:r>
        <w:rPr>
          <w:rFonts w:hint="eastAsia" w:ascii="方正小标宋简体" w:hAnsi="方正小标宋简体" w:eastAsia="方正小标宋简体" w:cs="方正小标宋简体"/>
          <w:color w:val="000000"/>
          <w:sz w:val="36"/>
          <w:szCs w:val="36"/>
        </w:rPr>
        <w:t xml:space="preserve">第二章  </w:t>
      </w:r>
      <w:bookmarkEnd w:id="45"/>
      <w:r/>
      <w:bookmarkStart w:id="51" w:name="_Toc16938518"/>
      <w:r/>
      <w:bookmarkStart w:id="52" w:name="_Toc120614213"/>
      <w:r/>
      <w:bookmarkStart w:id="53" w:name="_Toc513029202"/>
      <w:r/>
      <w:bookmarkStart w:id="54" w:name="_Toc20823274"/>
      <w:r>
        <w:rPr>
          <w:rFonts w:hint="eastAsia" w:ascii="方正小标宋简体" w:hAnsi="方正小标宋简体" w:eastAsia="方正小标宋简体" w:cs="方正小标宋简体"/>
          <w:color w:val="000000"/>
          <w:sz w:val="36"/>
          <w:szCs w:val="36"/>
        </w:rPr>
        <w:t xml:space="preserve">投标人须知</w:t>
      </w:r>
      <w:bookmarkEnd w:id="51"/>
      <w:r/>
      <w:bookmarkEnd w:id="52"/>
      <w:r/>
      <w:bookmarkEnd w:id="53"/>
      <w:r/>
      <w:bookmarkEnd w:id="54"/>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bookmarkStart w:id="55" w:name="_Toc20823275"/>
      <w:r/>
      <w:bookmarkStart w:id="56" w:name="_Toc120614214"/>
      <w:r/>
      <w:bookmarkStart w:id="57" w:name="_Toc16938519"/>
      <w:r/>
      <w:bookmarkStart w:id="58" w:name="_Toc513029203"/>
      <w:r>
        <w:rPr>
          <w:rFonts w:hint="eastAsia" w:ascii="方正黑体_GBK" w:hAnsi="方正黑体_GBK" w:eastAsia="方正黑体_GBK" w:cs="方正黑体_GBK"/>
          <w:b w:val="0"/>
          <w:bCs w:val="0"/>
          <w:sz w:val="30"/>
          <w:szCs w:val="30"/>
          <w:lang w:eastAsia="zh-CN"/>
        </w:rPr>
        <w:t xml:space="preserve">一、总则</w:t>
      </w:r>
      <w:bookmarkEnd w:id="55"/>
      <w:r/>
      <w:bookmarkEnd w:id="56"/>
      <w:r/>
      <w:bookmarkEnd w:id="57"/>
      <w:r/>
      <w:bookmarkEnd w:id="58"/>
      <w:r/>
      <w:r/>
    </w:p>
    <w:p>
      <w:pPr>
        <w:pStyle w:val="930"/>
        <w:ind w:firstLine="422"/>
        <w:spacing w:before="0" w:after="0" w:line="240" w:lineRule="auto"/>
        <w:rPr>
          <w:rFonts w:hint="eastAsia" w:ascii="方正楷体_GBK" w:hAnsi="方正楷体_GBK" w:eastAsia="方正楷体_GBK" w:cs="方正楷体_GBK"/>
          <w:lang w:eastAsia="zh-CN"/>
        </w:rPr>
      </w:pPr>
      <w:r/>
      <w:bookmarkStart w:id="59" w:name="_Hlt16619475"/>
      <w:r/>
      <w:bookmarkEnd w:id="59"/>
      <w:r/>
      <w:bookmarkStart w:id="60" w:name="_Toc458694821"/>
      <w:r/>
      <w:bookmarkStart w:id="61" w:name="_Toc20823276"/>
      <w:r/>
      <w:bookmarkStart w:id="62" w:name="_Toc16938520"/>
      <w:r/>
      <w:bookmarkStart w:id="63" w:name="_Toc513029204"/>
      <w:r>
        <w:rPr>
          <w:rFonts w:hint="eastAsia" w:ascii="方正楷体_GBK" w:hAnsi="方正楷体_GBK" w:eastAsia="方正楷体_GBK" w:cs="方正楷体_GBK"/>
          <w:lang w:eastAsia="zh-CN"/>
        </w:rPr>
        <w:t xml:space="preserve">1</w:t>
      </w:r>
      <w:bookmarkEnd w:id="60"/>
      <w:r>
        <w:rPr>
          <w:rFonts w:hint="eastAsia" w:ascii="方正楷体_GBK" w:hAnsi="方正楷体_GBK" w:eastAsia="方正楷体_GBK" w:cs="方正楷体_GBK"/>
          <w:lang w:eastAsia="zh-CN"/>
        </w:rPr>
        <w:t xml:space="preserve">.招标方式</w:t>
      </w:r>
      <w:bookmarkEnd w:id="61"/>
      <w:r/>
      <w:bookmarkEnd w:id="62"/>
      <w:r/>
      <w:bookmarkEnd w:id="63"/>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930"/>
        <w:ind w:firstLine="422"/>
        <w:spacing w:before="0" w:after="0" w:line="240" w:lineRule="auto"/>
        <w:rPr>
          <w:rFonts w:hint="eastAsia" w:ascii="方正楷体_GBK" w:hAnsi="方正楷体_GBK" w:eastAsia="方正楷体_GBK" w:cs="方正楷体_GBK"/>
          <w:lang w:eastAsia="zh-CN"/>
        </w:rPr>
      </w:pPr>
      <w:r/>
      <w:bookmarkStart w:id="64" w:name="_Toc20823277"/>
      <w:r/>
      <w:bookmarkStart w:id="65" w:name="_Toc513029205"/>
      <w:r/>
      <w:bookmarkStart w:id="66" w:name="_Toc16938521"/>
      <w:r>
        <w:rPr>
          <w:rFonts w:hint="eastAsia" w:ascii="方正楷体_GBK" w:hAnsi="方正楷体_GBK" w:eastAsia="方正楷体_GBK" w:cs="方正楷体_GBK"/>
          <w:lang w:eastAsia="zh-CN"/>
        </w:rPr>
        <w:t xml:space="preserve">2.合格的投标人</w:t>
      </w:r>
      <w:bookmarkEnd w:id="64"/>
      <w:r/>
      <w:bookmarkEnd w:id="65"/>
      <w:r/>
      <w:bookmarkEnd w:id="66"/>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930"/>
        <w:ind w:firstLine="422"/>
        <w:spacing w:before="0" w:after="0" w:line="240" w:lineRule="auto"/>
        <w:rPr>
          <w:rFonts w:hint="eastAsia" w:ascii="方正楷体_GBK" w:hAnsi="方正楷体_GBK" w:eastAsia="方正楷体_GBK" w:cs="方正楷体_GBK"/>
          <w:lang w:eastAsia="zh-CN"/>
        </w:rPr>
      </w:pPr>
      <w:r/>
      <w:bookmarkStart w:id="67" w:name="_Toc20823278"/>
      <w:r/>
      <w:bookmarkStart w:id="68" w:name="_Toc513029206"/>
      <w:r/>
      <w:bookmarkStart w:id="69" w:name="_Toc16938522"/>
      <w:r>
        <w:rPr>
          <w:rFonts w:hint="eastAsia" w:ascii="方正楷体_GBK" w:hAnsi="方正楷体_GBK" w:eastAsia="方正楷体_GBK" w:cs="方正楷体_GBK"/>
          <w:lang w:eastAsia="zh-CN"/>
        </w:rPr>
        <w:t xml:space="preserve">3.适用法律</w:t>
      </w:r>
      <w:bookmarkEnd w:id="67"/>
      <w:r/>
      <w:bookmarkEnd w:id="68"/>
      <w:r/>
      <w:bookmarkEnd w:id="69"/>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930"/>
        <w:ind w:firstLine="422"/>
        <w:spacing w:before="0" w:after="0" w:line="240" w:lineRule="auto"/>
        <w:rPr>
          <w:rFonts w:hint="eastAsia" w:ascii="方正楷体_GBK" w:hAnsi="方正楷体_GBK" w:eastAsia="方正楷体_GBK" w:cs="方正楷体_GBK"/>
          <w:lang w:eastAsia="zh-CN"/>
        </w:rPr>
      </w:pPr>
      <w:r/>
      <w:bookmarkStart w:id="70" w:name="_Toc16938523"/>
      <w:r/>
      <w:bookmarkStart w:id="71" w:name="_Toc513029207"/>
      <w:r/>
      <w:bookmarkStart w:id="72" w:name="_Toc20823279"/>
      <w:r/>
      <w:bookmarkStart w:id="73" w:name="_Toc462564067"/>
      <w:r>
        <w:rPr>
          <w:rFonts w:hint="eastAsia" w:ascii="方正楷体_GBK" w:hAnsi="方正楷体_GBK" w:eastAsia="方正楷体_GBK" w:cs="方正楷体_GBK"/>
          <w:lang w:eastAsia="zh-CN"/>
        </w:rPr>
        <w:t xml:space="preserve">4.投标费用</w:t>
      </w:r>
      <w:bookmarkEnd w:id="70"/>
      <w:r/>
      <w:bookmarkEnd w:id="71"/>
      <w:r/>
      <w:bookmarkEnd w:id="72"/>
      <w:r/>
      <w:bookmarkEnd w:id="73"/>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bookmarkStart w:id="74" w:name="_Toc120614215"/>
      <w:r/>
      <w:bookmarkStart w:id="75" w:name="_Toc513029209"/>
      <w:r/>
      <w:bookmarkStart w:id="76" w:name="_Toc20823281"/>
      <w:r/>
      <w:bookmarkStart w:id="77" w:name="_Toc16938525"/>
      <w:r>
        <w:rPr>
          <w:rFonts w:hint="eastAsia" w:ascii="方正黑体_GBK" w:hAnsi="方正黑体_GBK" w:eastAsia="方正黑体_GBK" w:cs="方正黑体_GBK"/>
          <w:b w:val="0"/>
          <w:bCs w:val="0"/>
          <w:sz w:val="30"/>
          <w:szCs w:val="30"/>
          <w:lang w:eastAsia="zh-CN"/>
        </w:rPr>
        <w:t xml:space="preserve">二、招标文件</w:t>
      </w:r>
      <w:bookmarkEnd w:id="74"/>
      <w:r/>
      <w:bookmarkEnd w:id="75"/>
      <w:r/>
      <w:bookmarkEnd w:id="76"/>
      <w:r/>
      <w:bookmarkEnd w:id="77"/>
      <w:r/>
      <w:r/>
    </w:p>
    <w:p>
      <w:pPr>
        <w:pStyle w:val="930"/>
        <w:ind w:firstLine="422"/>
        <w:spacing w:before="0" w:after="0" w:line="240" w:lineRule="auto"/>
        <w:rPr>
          <w:rFonts w:hint="eastAsia" w:ascii="方正楷体_GBK" w:hAnsi="方正楷体_GBK" w:eastAsia="方正楷体_GBK" w:cs="方正楷体_GBK"/>
          <w:lang w:eastAsia="zh-CN"/>
        </w:rPr>
      </w:pPr>
      <w:r/>
      <w:bookmarkStart w:id="78" w:name="_Toc20823282"/>
      <w:r/>
      <w:bookmarkStart w:id="79" w:name="_Toc513029210"/>
      <w:r/>
      <w:bookmarkStart w:id="80" w:name="_Toc16938526"/>
      <w:r>
        <w:rPr>
          <w:rFonts w:hint="eastAsia" w:ascii="方正楷体_GBK" w:hAnsi="方正楷体_GBK" w:eastAsia="方正楷体_GBK" w:cs="方正楷体_GBK"/>
          <w:lang w:eastAsia="zh-CN"/>
        </w:rPr>
        <w:t xml:space="preserve">6.招标文件构成</w:t>
      </w:r>
      <w:bookmarkEnd w:id="78"/>
      <w:r/>
      <w:bookmarkEnd w:id="79"/>
      <w:r/>
      <w:bookmarkEnd w:id="80"/>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422"/>
        <w:spacing w:before="0" w:after="0" w:line="240" w:lineRule="auto"/>
        <w:rPr>
          <w:rFonts w:hint="eastAsia" w:ascii="方正楷体_GBK" w:hAnsi="方正楷体_GBK" w:eastAsia="方正楷体_GBK" w:cs="方正楷体_GBK"/>
          <w:lang w:eastAsia="zh-CN"/>
        </w:rPr>
      </w:pPr>
      <w:r/>
      <w:bookmarkStart w:id="81" w:name="_Toc20823283"/>
      <w:r/>
      <w:bookmarkStart w:id="82" w:name="_Toc513029211"/>
      <w:r/>
      <w:bookmarkStart w:id="83" w:name="_Toc462564070"/>
      <w:r/>
      <w:bookmarkStart w:id="84" w:name="_Toc16938527"/>
      <w:r>
        <w:rPr>
          <w:rFonts w:hint="eastAsia" w:ascii="方正楷体_GBK" w:hAnsi="方正楷体_GBK" w:eastAsia="方正楷体_GBK" w:cs="方正楷体_GBK"/>
          <w:lang w:eastAsia="zh-CN"/>
        </w:rPr>
        <w:t xml:space="preserve">7.招标文件的澄清</w:t>
      </w:r>
      <w:bookmarkEnd w:id="81"/>
      <w:r/>
      <w:bookmarkEnd w:id="82"/>
      <w:r/>
      <w:bookmarkEnd w:id="83"/>
      <w:r/>
      <w:bookmarkEnd w:id="84"/>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930"/>
        <w:ind w:firstLine="422"/>
        <w:spacing w:before="0" w:after="0" w:line="240" w:lineRule="auto"/>
        <w:rPr>
          <w:rFonts w:hint="eastAsia" w:ascii="方正楷体_GBK" w:hAnsi="方正楷体_GBK" w:eastAsia="方正楷体_GBK" w:cs="方正楷体_GBK"/>
          <w:lang w:eastAsia="zh-CN"/>
        </w:rPr>
      </w:pPr>
      <w:r/>
      <w:bookmarkStart w:id="85" w:name="_Toc16938528"/>
      <w:r/>
      <w:bookmarkStart w:id="86" w:name="_Toc20823284"/>
      <w:r/>
      <w:bookmarkStart w:id="87" w:name="_Toc513029212"/>
      <w:r/>
      <w:bookmarkStart w:id="88" w:name="_Toc462564071"/>
      <w:r>
        <w:rPr>
          <w:rFonts w:hint="eastAsia" w:ascii="方正楷体_GBK" w:hAnsi="方正楷体_GBK" w:eastAsia="方正楷体_GBK" w:cs="方正楷体_GBK"/>
          <w:lang w:eastAsia="zh-CN"/>
        </w:rPr>
        <w:t xml:space="preserve">8.招标文件的修改</w:t>
      </w:r>
      <w:bookmarkEnd w:id="85"/>
      <w:r/>
      <w:bookmarkEnd w:id="86"/>
      <w:r/>
      <w:bookmarkEnd w:id="87"/>
      <w:r/>
      <w:bookmarkEnd w:id="88"/>
      <w:r/>
      <w:r/>
    </w:p>
    <w:p>
      <w:pPr>
        <w:ind w:firstLine="420"/>
        <w:rPr>
          <w:rFonts w:hint="eastAsia" w:ascii="宋体" w:hAnsi="宋体"/>
          <w:sz w:val="24"/>
        </w:rPr>
      </w:pPr>
      <w:r/>
      <w:bookmarkStart w:id="89" w:name="_Toc513029213"/>
      <w:r/>
      <w:bookmarkStart w:id="90" w:name="_Toc16938529"/>
      <w:r/>
      <w:bookmarkStart w:id="91" w:name="_Toc20823285"/>
      <w:r/>
      <w:bookmarkStart w:id="92" w:name="_Toc462564072"/>
      <w:r/>
      <w:bookmarkStart w:id="93"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三、投标文件的编制</w:t>
      </w:r>
      <w:bookmarkEnd w:id="89"/>
      <w:r/>
      <w:bookmarkEnd w:id="90"/>
      <w:r/>
      <w:bookmarkEnd w:id="91"/>
      <w:r/>
      <w:bookmarkEnd w:id="92"/>
      <w:r/>
      <w:bookmarkEnd w:id="93"/>
      <w:r/>
      <w:r/>
    </w:p>
    <w:p>
      <w:pPr>
        <w:pStyle w:val="930"/>
        <w:ind w:firstLine="422"/>
        <w:spacing w:before="0" w:after="0" w:line="240" w:lineRule="auto"/>
        <w:rPr>
          <w:rFonts w:hint="eastAsia" w:ascii="方正楷体_GBK" w:hAnsi="方正楷体_GBK" w:eastAsia="方正楷体_GBK" w:cs="方正楷体_GBK"/>
          <w:lang w:eastAsia="zh-CN"/>
        </w:rPr>
      </w:pPr>
      <w:r/>
      <w:bookmarkStart w:id="94" w:name="_Toc462564073"/>
      <w:r/>
      <w:bookmarkStart w:id="95" w:name="_Toc20823286"/>
      <w:r/>
      <w:bookmarkStart w:id="96" w:name="_Toc513029214"/>
      <w:r/>
      <w:bookmarkStart w:id="97" w:name="_Toc16938530"/>
      <w:r>
        <w:rPr>
          <w:rFonts w:hint="eastAsia" w:ascii="方正楷体_GBK" w:hAnsi="方正楷体_GBK" w:eastAsia="方正楷体_GBK" w:cs="方正楷体_GBK"/>
          <w:lang w:eastAsia="zh-CN"/>
        </w:rPr>
        <w:t xml:space="preserve">9.投标文件的语言及度量衡单位</w:t>
      </w:r>
      <w:bookmarkEnd w:id="94"/>
      <w:r/>
      <w:bookmarkEnd w:id="95"/>
      <w:r/>
      <w:bookmarkEnd w:id="96"/>
      <w:r/>
      <w:bookmarkEnd w:id="97"/>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930"/>
        <w:ind w:firstLine="422"/>
        <w:spacing w:before="0" w:after="0" w:line="240" w:lineRule="auto"/>
        <w:rPr>
          <w:rFonts w:hint="eastAsia" w:ascii="方正楷体_GBK" w:hAnsi="方正楷体_GBK" w:eastAsia="方正楷体_GBK" w:cs="方正楷体_GBK"/>
          <w:lang w:eastAsia="zh-CN"/>
        </w:rPr>
      </w:pPr>
      <w:r/>
      <w:bookmarkStart w:id="98" w:name="_Toc462564074"/>
      <w:r/>
      <w:bookmarkStart w:id="99" w:name="_Toc513029215"/>
      <w:r/>
      <w:bookmarkStart w:id="100" w:name="_Toc20823287"/>
      <w:r/>
      <w:bookmarkStart w:id="101" w:name="_Toc16938531"/>
      <w:r>
        <w:rPr>
          <w:rFonts w:hint="eastAsia" w:ascii="方正楷体_GBK" w:hAnsi="方正楷体_GBK" w:eastAsia="方正楷体_GBK" w:cs="方正楷体_GBK"/>
          <w:lang w:eastAsia="zh-CN"/>
        </w:rPr>
        <w:t xml:space="preserve">10.投标文件构成</w:t>
      </w:r>
      <w:bookmarkEnd w:id="98"/>
      <w:r/>
      <w:bookmarkEnd w:id="99"/>
      <w:r/>
      <w:bookmarkEnd w:id="100"/>
      <w:r/>
      <w:bookmarkEnd w:id="101"/>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930"/>
        <w:ind w:firstLine="422"/>
        <w:spacing w:before="0" w:after="0" w:line="240" w:lineRule="auto"/>
        <w:rPr>
          <w:rFonts w:hint="eastAsia" w:ascii="方正楷体_GBK" w:hAnsi="方正楷体_GBK" w:eastAsia="方正楷体_GBK" w:cs="方正楷体_GBK"/>
          <w:lang w:eastAsia="zh-CN"/>
        </w:rPr>
      </w:pPr>
      <w:r/>
      <w:bookmarkStart w:id="102" w:name="_Hlt26954838"/>
      <w:r/>
      <w:bookmarkEnd w:id="102"/>
      <w:r/>
      <w:bookmarkStart w:id="103" w:name="_Hlt26668975"/>
      <w:r/>
      <w:bookmarkEnd w:id="103"/>
      <w:r/>
      <w:bookmarkStart w:id="104" w:name="_Hlt26670360"/>
      <w:r/>
      <w:bookmarkEnd w:id="104"/>
      <w:r/>
      <w:bookmarkStart w:id="105" w:name="_Toc14577354"/>
      <w:r/>
      <w:bookmarkStart w:id="106" w:name="_Toc513029219"/>
      <w:r/>
      <w:bookmarkStart w:id="107" w:name="_Toc49090509"/>
      <w:r/>
      <w:bookmarkStart w:id="108" w:name="_Toc513029216"/>
      <w:r/>
      <w:bookmarkStart w:id="109" w:name="_Toc14577357"/>
      <w:r/>
      <w:bookmarkStart w:id="110" w:name="_Toc49090507"/>
      <w:r>
        <w:rPr>
          <w:rFonts w:hint="eastAsia" w:ascii="方正楷体_GBK" w:hAnsi="方正楷体_GBK" w:eastAsia="方正楷体_GBK" w:cs="方正楷体_GBK"/>
          <w:lang w:eastAsia="zh-CN"/>
        </w:rPr>
        <w:t xml:space="preserve">11.证明投标人及投标标的符合招标文件规定的文件</w:t>
      </w:r>
      <w:bookmarkEnd w:id="105"/>
      <w:r/>
      <w:bookmarkEnd w:id="106"/>
      <w:r/>
      <w:bookmarkEnd w:id="107"/>
      <w:r/>
      <w:bookmarkEnd w:id="108"/>
      <w:r/>
      <w:bookmarkEnd w:id="109"/>
      <w:r/>
      <w:bookmarkEnd w:id="110"/>
      <w:r/>
      <w:r/>
    </w:p>
    <w:p>
      <w:pPr>
        <w:ind w:firstLine="420"/>
        <w:rPr>
          <w:rFonts w:hint="eastAsia" w:ascii="宋体" w:hAnsi="宋体"/>
          <w:sz w:val="24"/>
        </w:rPr>
      </w:pPr>
      <w:r/>
      <w:bookmarkStart w:id="111" w:name="_Toc14577355"/>
      <w:r/>
      <w:bookmarkStart w:id="112"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35"/>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1"/>
      <w:r/>
      <w:bookmarkStart w:id="113" w:name="_Hlt26670373"/>
      <w:r/>
      <w:bookmarkEnd w:id="113"/>
      <w:r>
        <w:rPr>
          <w:rFonts w:hint="eastAsia" w:ascii="方正楷体_GBK" w:hAnsi="方正楷体_GBK" w:eastAsia="方正楷体_GBK" w:cs="方正楷体_GBK"/>
        </w:rPr>
        <w:t xml:space="preserve">表</w:t>
      </w:r>
      <w:bookmarkEnd w:id="112"/>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4" w:name="_Hlt26954840"/>
      <w:r/>
      <w:bookmarkEnd w:id="114"/>
      <w:r>
        <w:rPr>
          <w:rFonts w:hint="eastAsia" w:ascii="宋体" w:hAnsi="宋体"/>
          <w:sz w:val="24"/>
        </w:rPr>
        <w:t xml:space="preserve">标人应按照招标文件规定格式填报投标分项报价表</w:t>
      </w:r>
      <w:bookmarkStart w:id="115" w:name="_Hlt26670399"/>
      <w:r/>
      <w:bookmarkEnd w:id="115"/>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930"/>
        <w:ind w:firstLine="422"/>
        <w:spacing w:before="0" w:after="0" w:line="240" w:lineRule="auto"/>
        <w:rPr>
          <w:rFonts w:hint="eastAsia" w:ascii="方正楷体_GBK" w:hAnsi="方正楷体_GBK" w:eastAsia="方正楷体_GBK" w:cs="方正楷体_GBK"/>
          <w:lang w:eastAsia="zh-CN"/>
        </w:rPr>
      </w:pPr>
      <w:r/>
      <w:bookmarkStart w:id="116" w:name="_Hlt26954848"/>
      <w:r/>
      <w:bookmarkEnd w:id="116"/>
      <w:r/>
      <w:bookmarkStart w:id="117" w:name="_Hlt26954846"/>
      <w:r/>
      <w:bookmarkEnd w:id="117"/>
      <w:r/>
      <w:bookmarkStart w:id="118" w:name="_Hlt26954731"/>
      <w:r/>
      <w:bookmarkEnd w:id="118"/>
      <w:r/>
      <w:bookmarkStart w:id="119" w:name="_Hlt26670425"/>
      <w:r/>
      <w:bookmarkEnd w:id="119"/>
      <w:r/>
      <w:bookmarkStart w:id="120" w:name="_Hlt26670482"/>
      <w:r/>
      <w:bookmarkEnd w:id="120"/>
      <w:r/>
      <w:bookmarkStart w:id="121" w:name="_Hlt26954842"/>
      <w:r/>
      <w:bookmarkEnd w:id="121"/>
      <w:r/>
      <w:bookmarkStart w:id="122" w:name="_Hlt26668983"/>
      <w:r/>
      <w:bookmarkEnd w:id="122"/>
      <w:r/>
      <w:bookmarkStart w:id="123" w:name="_Hlt26670486"/>
      <w:r/>
      <w:bookmarkEnd w:id="123"/>
      <w:r/>
      <w:bookmarkStart w:id="124" w:name="_Hlt26954844"/>
      <w:r/>
      <w:bookmarkEnd w:id="124"/>
      <w:r/>
      <w:bookmarkStart w:id="125" w:name="_Hlt26670403"/>
      <w:r/>
      <w:bookmarkEnd w:id="125"/>
      <w:r>
        <w:rPr>
          <w:rFonts w:hint="eastAsia" w:ascii="方正楷体_GBK" w:hAnsi="方正楷体_GBK" w:eastAsia="方正楷体_GBK" w:cs="方正楷体_GBK"/>
          <w:lang w:eastAsia="zh-CN"/>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930"/>
        <w:ind w:firstLine="422"/>
        <w:spacing w:before="0" w:after="0" w:line="240" w:lineRule="auto"/>
        <w:rPr>
          <w:rFonts w:hint="eastAsia" w:ascii="方正楷体_GBK" w:hAnsi="方正楷体_GBK" w:eastAsia="方正楷体_GBK" w:cs="方正楷体_GBK"/>
          <w:lang w:eastAsia="zh-CN"/>
        </w:rPr>
      </w:pPr>
      <w:r/>
      <w:bookmarkStart w:id="126" w:name="_Toc14577359"/>
      <w:r/>
      <w:bookmarkStart w:id="127" w:name="_Toc49090510"/>
      <w:r>
        <w:rPr>
          <w:rFonts w:hint="eastAsia" w:ascii="方正楷体_GBK" w:hAnsi="方正楷体_GBK" w:eastAsia="方正楷体_GBK" w:cs="方正楷体_GBK"/>
          <w:lang w:eastAsia="zh-CN"/>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6"/>
      <w:r/>
      <w:bookmarkEnd w:id="127"/>
      <w:r/>
      <w:r/>
    </w:p>
    <w:p>
      <w:pPr>
        <w:pStyle w:val="930"/>
        <w:ind w:firstLine="422"/>
        <w:spacing w:before="0" w:after="0" w:line="240" w:lineRule="auto"/>
        <w:rPr>
          <w:rFonts w:hint="eastAsia" w:ascii="方正楷体_GBK" w:hAnsi="方正楷体_GBK" w:eastAsia="方正楷体_GBK" w:cs="方正楷体_GBK"/>
          <w:lang w:eastAsia="zh-CN"/>
        </w:rPr>
      </w:pPr>
      <w:r/>
      <w:bookmarkStart w:id="128" w:name="_Hlt26954850"/>
      <w:r/>
      <w:bookmarkEnd w:id="128"/>
      <w:r/>
      <w:bookmarkStart w:id="129" w:name="_Hlt26954734"/>
      <w:r/>
      <w:bookmarkEnd w:id="129"/>
      <w:r/>
      <w:bookmarkStart w:id="130" w:name="_Hlt26670489"/>
      <w:r/>
      <w:bookmarkEnd w:id="130"/>
      <w:r/>
      <w:bookmarkStart w:id="131" w:name="_Toc14577360"/>
      <w:r/>
      <w:bookmarkStart w:id="132" w:name="_Toc49090511"/>
      <w:r>
        <w:rPr>
          <w:rFonts w:hint="eastAsia" w:ascii="方正楷体_GBK" w:hAnsi="方正楷体_GBK" w:eastAsia="方正楷体_GBK" w:cs="方正楷体_GBK"/>
          <w:lang w:eastAsia="zh-CN"/>
        </w:rPr>
        <w:t xml:space="preserve">15.投标有效期</w:t>
      </w:r>
      <w:bookmarkEnd w:id="131"/>
      <w:r/>
      <w:bookmarkEnd w:id="132"/>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bookmarkStart w:id="133" w:name="_Hlt26954852"/>
      <w:r/>
      <w:bookmarkEnd w:id="133"/>
      <w:r/>
      <w:bookmarkStart w:id="134" w:name="_Hlt26954739"/>
      <w:r/>
      <w:bookmarkEnd w:id="134"/>
      <w:r/>
      <w:bookmarkStart w:id="135" w:name="_Toc513029224"/>
      <w:r/>
      <w:bookmarkStart w:id="136" w:name="_Toc20823296"/>
      <w:r/>
      <w:bookmarkStart w:id="137" w:name="_Toc16938540"/>
      <w:r/>
      <w:bookmarkStart w:id="138" w:name="_Toc120614217"/>
      <w:r>
        <w:rPr>
          <w:rFonts w:hint="eastAsia" w:ascii="方正黑体_GBK" w:hAnsi="方正黑体_GBK" w:eastAsia="方正黑体_GBK" w:cs="方正黑体_GBK"/>
          <w:b w:val="0"/>
          <w:bCs w:val="0"/>
          <w:sz w:val="30"/>
          <w:szCs w:val="30"/>
          <w:lang w:eastAsia="zh-CN"/>
        </w:rPr>
        <w:t xml:space="preserve">四、投标文件的递交</w:t>
      </w:r>
      <w:bookmarkEnd w:id="135"/>
      <w:r/>
      <w:bookmarkEnd w:id="136"/>
      <w:r/>
      <w:bookmarkEnd w:id="137"/>
      <w:r/>
      <w:bookmarkEnd w:id="138"/>
      <w:r/>
      <w:r/>
    </w:p>
    <w:p>
      <w:pPr>
        <w:pStyle w:val="930"/>
        <w:ind w:firstLine="422"/>
        <w:spacing w:before="0" w:after="0" w:line="240" w:lineRule="auto"/>
        <w:rPr>
          <w:rFonts w:hint="eastAsia" w:ascii="方正楷体_GBK" w:hAnsi="方正楷体_GBK" w:eastAsia="方正楷体_GBK" w:cs="方正楷体_GBK"/>
          <w:lang w:eastAsia="zh-CN"/>
        </w:rPr>
      </w:pPr>
      <w:r/>
      <w:bookmarkStart w:id="139" w:name="_Toc16938541"/>
      <w:r/>
      <w:bookmarkStart w:id="140" w:name="_Toc20823297"/>
      <w:r/>
      <w:bookmarkStart w:id="141" w:name="_Toc513029225"/>
      <w:r/>
      <w:bookmarkStart w:id="142" w:name="_Toc462564084"/>
      <w:r>
        <w:rPr>
          <w:rFonts w:hint="eastAsia" w:ascii="方正楷体_GBK" w:hAnsi="方正楷体_GBK" w:eastAsia="方正楷体_GBK" w:cs="方正楷体_GBK"/>
          <w:lang w:eastAsia="zh-CN"/>
        </w:rPr>
        <w:t xml:space="preserve">17.投标文件</w:t>
      </w:r>
      <w:bookmarkEnd w:id="139"/>
      <w:r/>
      <w:bookmarkEnd w:id="140"/>
      <w:r/>
      <w:bookmarkEnd w:id="141"/>
      <w:r/>
      <w:bookmarkEnd w:id="142"/>
      <w:r>
        <w:rPr>
          <w:rFonts w:hint="eastAsia" w:ascii="方正楷体_GBK" w:hAnsi="方正楷体_GBK" w:eastAsia="方正楷体_GBK" w:cs="方正楷体_GBK"/>
          <w:lang w:eastAsia="zh-CN"/>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3" w:name="_Toc16938542"/>
      <w:r/>
      <w:bookmarkEnd w:id="143"/>
      <w:r/>
      <w:bookmarkStart w:id="144" w:name="_Toc20823298"/>
      <w:r/>
      <w:bookmarkEnd w:id="144"/>
      <w:r/>
      <w:bookmarkStart w:id="145" w:name="_Toc513029226"/>
      <w:r/>
      <w:bookmarkEnd w:id="145"/>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930"/>
        <w:ind w:firstLine="422"/>
        <w:spacing w:before="0" w:after="0" w:line="240" w:lineRule="auto"/>
        <w:rPr>
          <w:rFonts w:hint="eastAsia" w:ascii="方正楷体_GBK" w:hAnsi="方正楷体_GBK" w:eastAsia="方正楷体_GBK" w:cs="方正楷体_GBK"/>
          <w:lang w:eastAsia="zh-CN"/>
        </w:rPr>
      </w:pPr>
      <w:r/>
      <w:bookmarkStart w:id="146" w:name="_Toc16938543"/>
      <w:r/>
      <w:bookmarkStart w:id="147" w:name="_Toc513029227"/>
      <w:r/>
      <w:bookmarkStart w:id="148" w:name="_Toc20823299"/>
      <w:r>
        <w:rPr>
          <w:rFonts w:hint="eastAsia" w:ascii="方正楷体_GBK" w:hAnsi="方正楷体_GBK" w:eastAsia="方正楷体_GBK" w:cs="方正楷体_GBK"/>
          <w:lang w:eastAsia="zh-CN"/>
        </w:rPr>
        <w:t xml:space="preserve">18.投标文件</w:t>
      </w:r>
      <w:bookmarkEnd w:id="146"/>
      <w:r/>
      <w:bookmarkEnd w:id="147"/>
      <w:r/>
      <w:bookmarkEnd w:id="148"/>
      <w:r>
        <w:rPr>
          <w:rFonts w:hint="eastAsia" w:ascii="方正楷体_GBK" w:hAnsi="方正楷体_GBK" w:eastAsia="方正楷体_GBK" w:cs="方正楷体_GBK"/>
          <w:lang w:eastAsia="zh-CN"/>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w:t>
      </w:r>
      <w:r>
        <w:rPr>
          <w:rFonts w:hint="eastAsia" w:ascii="宋体" w:hAnsi="宋体"/>
          <w:sz w:val="24"/>
        </w:rPr>
        <w:t xml:space="preserve">将被</w:t>
      </w:r>
      <w:r>
        <w:rPr>
          <w:rFonts w:hint="eastAsia" w:ascii="宋体" w:hAnsi="宋体"/>
          <w:sz w:val="24"/>
          <w:lang w:val="zh-CN"/>
        </w:rPr>
        <w:t xml:space="preserve">拒绝。</w:t>
      </w:r>
      <w:r/>
    </w:p>
    <w:p>
      <w:pPr>
        <w:pStyle w:val="930"/>
        <w:ind w:firstLine="422"/>
        <w:spacing w:before="0" w:after="0" w:line="240" w:lineRule="auto"/>
        <w:rPr>
          <w:rFonts w:hint="eastAsia" w:ascii="方正楷体_GBK" w:hAnsi="方正楷体_GBK" w:eastAsia="方正楷体_GBK" w:cs="方正楷体_GBK"/>
          <w:lang w:eastAsia="zh-CN"/>
        </w:rPr>
      </w:pPr>
      <w:r/>
      <w:bookmarkStart w:id="149" w:name="_Toc513029228"/>
      <w:r/>
      <w:bookmarkStart w:id="150" w:name="_Toc20823300"/>
      <w:r/>
      <w:bookmarkStart w:id="151" w:name="_Toc16938544"/>
      <w:r>
        <w:rPr>
          <w:rFonts w:hint="eastAsia" w:ascii="方正楷体_GBK" w:hAnsi="方正楷体_GBK" w:eastAsia="方正楷体_GBK" w:cs="方正楷体_GBK"/>
          <w:lang w:eastAsia="zh-CN"/>
        </w:rPr>
        <w:t xml:space="preserve">19.投标文件的撤回和修改</w:t>
      </w:r>
      <w:bookmarkEnd w:id="149"/>
      <w:r/>
      <w:bookmarkEnd w:id="150"/>
      <w:r/>
      <w:bookmarkEnd w:id="151"/>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2" w:name="_Toc20823301"/>
      <w:r/>
      <w:bookmarkStart w:id="153" w:name="_Toc120614218"/>
      <w:r/>
      <w:bookmarkStart w:id="154" w:name="_Toc513029229"/>
      <w:r/>
      <w:bookmarkStart w:id="155" w:name="_Toc16938545"/>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五、开标与评标</w:t>
      </w:r>
      <w:bookmarkEnd w:id="152"/>
      <w:r/>
      <w:bookmarkEnd w:id="153"/>
      <w:r/>
      <w:bookmarkEnd w:id="154"/>
      <w:r/>
      <w:bookmarkEnd w:id="155"/>
      <w:r/>
      <w:r/>
    </w:p>
    <w:p>
      <w:pPr>
        <w:pStyle w:val="930"/>
        <w:ind w:firstLine="422"/>
        <w:spacing w:before="0" w:after="0" w:line="240" w:lineRule="auto"/>
        <w:rPr>
          <w:rFonts w:hint="eastAsia" w:ascii="方正楷体_GBK" w:hAnsi="方正楷体_GBK" w:eastAsia="方正楷体_GBK" w:cs="方正楷体_GBK"/>
          <w:lang w:eastAsia="zh-CN"/>
        </w:rPr>
      </w:pPr>
      <w:r/>
      <w:bookmarkStart w:id="156" w:name="_Toc16938546"/>
      <w:r/>
      <w:bookmarkStart w:id="157" w:name="_Toc20823302"/>
      <w:r/>
      <w:bookmarkStart w:id="158" w:name="_Toc513029230"/>
      <w:r>
        <w:rPr>
          <w:rFonts w:hint="eastAsia" w:ascii="方正楷体_GBK" w:hAnsi="方正楷体_GBK" w:eastAsia="方正楷体_GBK" w:cs="方正楷体_GBK"/>
          <w:lang w:eastAsia="zh-CN"/>
        </w:rPr>
        <w:t xml:space="preserve">20.开标</w:t>
      </w:r>
      <w:bookmarkEnd w:id="156"/>
      <w:r/>
      <w:bookmarkEnd w:id="157"/>
      <w:r/>
      <w:bookmarkEnd w:id="158"/>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930"/>
        <w:ind w:firstLine="422"/>
        <w:spacing w:before="0" w:after="0" w:line="240" w:lineRule="auto"/>
        <w:rPr>
          <w:rFonts w:hint="eastAsia" w:ascii="方正楷体_GBK" w:hAnsi="方正楷体_GBK" w:eastAsia="方正楷体_GBK" w:cs="方正楷体_GBK"/>
          <w:lang w:eastAsia="zh-CN"/>
        </w:rPr>
      </w:pPr>
      <w:r/>
      <w:bookmarkStart w:id="159" w:name="_Toc16938547"/>
      <w:r/>
      <w:bookmarkStart w:id="160" w:name="_Toc20823303"/>
      <w:r/>
      <w:bookmarkStart w:id="161" w:name="_Toc513029231"/>
      <w:r>
        <w:rPr>
          <w:rFonts w:hint="eastAsia" w:ascii="方正楷体_GBK" w:hAnsi="方正楷体_GBK" w:eastAsia="方正楷体_GBK" w:cs="方正楷体_GBK"/>
          <w:lang w:eastAsia="zh-CN"/>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22.评标过程的保密与公正</w:t>
      </w:r>
      <w:bookmarkEnd w:id="159"/>
      <w:r/>
      <w:bookmarkEnd w:id="160"/>
      <w:r/>
      <w:bookmarkEnd w:id="161"/>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930"/>
        <w:ind w:firstLine="422"/>
        <w:spacing w:before="0" w:after="0" w:line="240" w:lineRule="auto"/>
        <w:rPr>
          <w:rFonts w:hint="eastAsia" w:ascii="方正楷体_GBK" w:hAnsi="方正楷体_GBK" w:eastAsia="方正楷体_GBK" w:cs="方正楷体_GBK"/>
          <w:lang w:eastAsia="zh-CN"/>
        </w:rPr>
      </w:pPr>
      <w:r/>
      <w:bookmarkStart w:id="162" w:name="_Toc513029232"/>
      <w:r/>
      <w:bookmarkStart w:id="163" w:name="_Toc16938548"/>
      <w:r/>
      <w:bookmarkStart w:id="164" w:name="_Toc20823304"/>
      <w:r>
        <w:rPr>
          <w:rFonts w:hint="eastAsia" w:ascii="方正楷体_GBK" w:hAnsi="方正楷体_GBK" w:eastAsia="方正楷体_GBK" w:cs="方正楷体_GBK"/>
          <w:lang w:eastAsia="zh-CN"/>
        </w:rPr>
        <w:t xml:space="preserve">23.投标文件的澄清</w:t>
      </w:r>
      <w:bookmarkEnd w:id="162"/>
      <w:r/>
      <w:bookmarkEnd w:id="163"/>
      <w:r/>
      <w:bookmarkEnd w:id="164"/>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930"/>
        <w:ind w:firstLine="422"/>
        <w:spacing w:before="0" w:after="0" w:line="240" w:lineRule="auto"/>
        <w:rPr>
          <w:rFonts w:hint="eastAsia" w:ascii="方正楷体_GBK" w:hAnsi="方正楷体_GBK" w:eastAsia="方正楷体_GBK" w:cs="方正楷体_GBK"/>
          <w:lang w:eastAsia="zh-CN"/>
        </w:rPr>
      </w:pPr>
      <w:r/>
      <w:bookmarkStart w:id="165" w:name="_Toc16938549"/>
      <w:r/>
      <w:bookmarkStart w:id="166" w:name="_Toc513029233"/>
      <w:r/>
      <w:bookmarkStart w:id="167" w:name="_Toc20823305"/>
      <w:r>
        <w:rPr>
          <w:rFonts w:hint="eastAsia" w:ascii="方正楷体_GBK" w:hAnsi="方正楷体_GBK" w:eastAsia="方正楷体_GBK" w:cs="方正楷体_GBK"/>
          <w:lang w:eastAsia="zh-CN"/>
        </w:rPr>
        <w:t xml:space="preserve">24.投标文件的</w:t>
      </w:r>
      <w:bookmarkEnd w:id="165"/>
      <w:r/>
      <w:bookmarkEnd w:id="166"/>
      <w:r/>
      <w:bookmarkEnd w:id="167"/>
      <w:r>
        <w:rPr>
          <w:rFonts w:hint="eastAsia" w:ascii="方正楷体_GBK" w:hAnsi="方正楷体_GBK" w:eastAsia="方正楷体_GBK" w:cs="方正楷体_GBK"/>
          <w:lang w:eastAsia="zh-CN"/>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8" w:name="_Toc513029234"/>
      <w:r/>
      <w:bookmarkStart w:id="169" w:name="_Toc16938550"/>
      <w:r/>
      <w:bookmarkStart w:id="170"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w:t>
      </w:r>
      <w:bookmarkEnd w:id="168"/>
      <w:r/>
      <w:bookmarkEnd w:id="169"/>
      <w:r/>
      <w:bookmarkEnd w:id="170"/>
      <w:r>
        <w:rPr>
          <w:rFonts w:hint="eastAsia" w:ascii="方正楷体_GBK" w:hAnsi="方正楷体_GBK" w:eastAsia="方正楷体_GBK" w:cs="方正楷体_GBK"/>
          <w:lang w:eastAsia="zh-CN"/>
        </w:rPr>
        <w:t xml:space="preserve">5.无效投标和废标</w:t>
      </w:r>
      <w:r/>
    </w:p>
    <w:p>
      <w:pPr>
        <w:ind w:firstLine="420"/>
        <w:rPr>
          <w:rFonts w:hint="eastAsia" w:ascii="宋体" w:hAnsi="宋体"/>
          <w:sz w:val="24"/>
          <w:lang w:val="zh-CN"/>
        </w:rPr>
      </w:pPr>
      <w:r/>
      <w:bookmarkStart w:id="171" w:name="_Toc20823307"/>
      <w:r/>
      <w:bookmarkStart w:id="172" w:name="_Toc16938551"/>
      <w:r/>
      <w:bookmarkStart w:id="173" w:name="_Toc513029235"/>
      <w:r/>
      <w:bookmarkStart w:id="174"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rFonts w:hint="eastAsia"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六、</w:t>
      </w:r>
      <w:bookmarkEnd w:id="171"/>
      <w:r/>
      <w:bookmarkEnd w:id="172"/>
      <w:r/>
      <w:bookmarkEnd w:id="173"/>
      <w:r>
        <w:rPr>
          <w:rFonts w:hint="eastAsia" w:ascii="方正黑体_GBK" w:hAnsi="方正黑体_GBK" w:eastAsia="方正黑体_GBK" w:cs="方正黑体_GBK"/>
          <w:b w:val="0"/>
          <w:bCs w:val="0"/>
          <w:sz w:val="30"/>
          <w:szCs w:val="30"/>
          <w:lang w:eastAsia="zh-CN"/>
        </w:rPr>
        <w:t xml:space="preserve">定标</w:t>
      </w:r>
      <w:bookmarkEnd w:id="174"/>
      <w:r/>
      <w:r/>
    </w:p>
    <w:p>
      <w:pPr>
        <w:pStyle w:val="930"/>
        <w:ind w:firstLine="422"/>
        <w:spacing w:before="0" w:after="0" w:line="240" w:lineRule="auto"/>
        <w:rPr>
          <w:rFonts w:hint="eastAsia" w:ascii="方正楷体_GBK" w:hAnsi="方正楷体_GBK" w:eastAsia="方正楷体_GBK" w:cs="方正楷体_GBK"/>
          <w:lang w:eastAsia="zh-CN"/>
        </w:rPr>
      </w:pPr>
      <w:r/>
      <w:bookmarkStart w:id="175" w:name="_Toc513029238"/>
      <w:r/>
      <w:bookmarkStart w:id="176" w:name="_Toc16938554"/>
      <w:r/>
      <w:bookmarkStart w:id="177" w:name="_Toc20823310"/>
      <w:r>
        <w:rPr>
          <w:rFonts w:hint="eastAsia" w:ascii="方正楷体_GBK" w:hAnsi="方正楷体_GBK" w:eastAsia="方正楷体_GBK" w:cs="方正楷体_GBK"/>
          <w:lang w:eastAsia="zh-CN"/>
        </w:rPr>
        <w:t xml:space="preserve">2</w:t>
      </w:r>
      <w:bookmarkEnd w:id="175"/>
      <w:r>
        <w:rPr>
          <w:rFonts w:hint="eastAsia" w:ascii="方正楷体_GBK" w:hAnsi="方正楷体_GBK" w:eastAsia="方正楷体_GBK" w:cs="方正楷体_GBK"/>
          <w:lang w:eastAsia="zh-CN"/>
        </w:rPr>
        <w:t xml:space="preserve">6.确定</w:t>
      </w:r>
      <w:bookmarkEnd w:id="176"/>
      <w:r/>
      <w:bookmarkEnd w:id="177"/>
      <w:r>
        <w:rPr>
          <w:rFonts w:hint="eastAsia" w:ascii="方正楷体_GBK" w:hAnsi="方正楷体_GBK" w:eastAsia="方正楷体_GBK" w:cs="方正楷体_GBK"/>
          <w:lang w:eastAsia="zh-CN"/>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按以下第（2）种方式确定中标人：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8"/>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bookmarkStart w:id="179" w:name="_Toc16938552"/>
      <w:r/>
      <w:bookmarkStart w:id="180" w:name="_Toc120614220"/>
      <w:r/>
      <w:bookmarkStart w:id="181" w:name="_Toc513029236"/>
      <w:r/>
      <w:bookmarkStart w:id="182" w:name="_Toc20823308"/>
      <w:r>
        <w:rPr>
          <w:rFonts w:hint="eastAsia" w:ascii="方正黑体_GBK" w:hAnsi="方正黑体_GBK" w:eastAsia="方正黑体_GBK" w:cs="方正黑体_GBK"/>
          <w:b w:val="0"/>
          <w:bCs w:val="0"/>
          <w:sz w:val="30"/>
          <w:szCs w:val="30"/>
          <w:lang w:eastAsia="zh-CN"/>
        </w:rPr>
        <w:t xml:space="preserve">七、授予合同</w:t>
      </w:r>
      <w:bookmarkEnd w:id="179"/>
      <w:r/>
      <w:bookmarkEnd w:id="180"/>
      <w:r/>
      <w:bookmarkEnd w:id="181"/>
      <w:r/>
      <w:bookmarkEnd w:id="182"/>
      <w:r/>
      <w:r/>
    </w:p>
    <w:p>
      <w:pPr>
        <w:pStyle w:val="930"/>
        <w:ind w:firstLine="422"/>
        <w:spacing w:before="0" w:after="0" w:line="240" w:lineRule="auto"/>
        <w:rPr>
          <w:rFonts w:hint="eastAsia" w:ascii="方正楷体_GBK" w:hAnsi="方正楷体_GBK" w:eastAsia="方正楷体_GBK" w:cs="方正楷体_GBK"/>
          <w:lang w:eastAsia="zh-CN"/>
        </w:rPr>
      </w:pPr>
      <w:r/>
      <w:bookmarkStart w:id="183" w:name="_Toc16938553"/>
      <w:r/>
      <w:bookmarkStart w:id="184" w:name="_Toc20823309"/>
      <w:r/>
      <w:bookmarkStart w:id="185" w:name="_Toc513029237"/>
      <w:r>
        <w:rPr>
          <w:rFonts w:hint="eastAsia" w:ascii="方正楷体_GBK" w:hAnsi="方正楷体_GBK" w:eastAsia="方正楷体_GBK" w:cs="方正楷体_GBK"/>
          <w:lang w:eastAsia="zh-CN"/>
        </w:rPr>
        <w:t xml:space="preserve">28.签订合同</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w:t>
      </w:r>
      <w:r>
        <w:rPr>
          <w:rFonts w:hint="eastAsia" w:ascii="宋体" w:hAnsi="宋体"/>
          <w:sz w:val="24"/>
        </w:rPr>
        <w:t xml:space="preserve">分</w:t>
      </w:r>
      <w:r>
        <w:rPr>
          <w:rFonts w:hint="eastAsia" w:ascii="宋体" w:hAnsi="宋体"/>
          <w:sz w:val="24"/>
          <w:lang w:val="zh-CN"/>
        </w:rPr>
        <w:t xml:space="preserve">包的形式履行合同，否则采购人有权终止合同。转包或</w:t>
      </w:r>
      <w:r>
        <w:rPr>
          <w:rFonts w:hint="eastAsia" w:ascii="宋体" w:hAnsi="宋体"/>
          <w:sz w:val="24"/>
        </w:rPr>
        <w:t xml:space="preserve">分</w:t>
      </w:r>
      <w:r>
        <w:rPr>
          <w:rFonts w:hint="eastAsia" w:ascii="宋体" w:hAnsi="宋体"/>
          <w:sz w:val="24"/>
          <w:lang w:val="zh-CN"/>
        </w:rPr>
        <w:t xml:space="preserve">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3"/>
      <w:r/>
      <w:bookmarkEnd w:id="184"/>
      <w:r/>
      <w:bookmarkEnd w:id="185"/>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w:t>
      </w:r>
      <w:bookmarkStart w:id="212" w:name="_GoBack"/>
      <w:r/>
      <w:bookmarkEnd w:id="212"/>
      <w:r>
        <w:rPr>
          <w:rFonts w:hint="eastAsia" w:ascii="宋体" w:hAnsi="宋体"/>
          <w:sz w:val="24"/>
          <w:lang w:val="zh-CN"/>
        </w:rPr>
        <w:t xml:space="preserve">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w:t>
      </w:r>
      <w:r>
        <w:rPr>
          <w:rFonts w:ascii="宋体" w:hAnsi="宋体"/>
          <w:sz w:val="24"/>
        </w:rPr>
        <w:t xml:space="preserve">且</w:t>
      </w:r>
      <w:r>
        <w:rPr>
          <w:rFonts w:hint="eastAsia" w:ascii="宋体" w:hAnsi="宋体"/>
          <w:sz w:val="24"/>
          <w:lang w:val="zh-CN"/>
        </w:rPr>
        <w:t xml:space="preserve">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highlight w:val="none"/>
        </w:rPr>
      </w:pPr>
      <w:r>
        <w:rPr>
          <w:rFonts w:hint="eastAsia" w:ascii="宋体" w:hAnsi="宋体"/>
          <w:sz w:val="24"/>
          <w:lang w:val="zh-CN"/>
        </w:rPr>
        <w:t xml:space="preserve">供应商如组成联合体参加</w:t>
      </w:r>
      <w:r>
        <w:rPr>
          <w:rFonts w:hint="eastAsia" w:ascii="宋体" w:hAnsi="宋体"/>
          <w:sz w:val="24"/>
          <w:highlight w:val="none"/>
          <w:lang w:val="zh-CN"/>
        </w:rPr>
        <w:t xml:space="preserve">采购活动，《质疑函范本》中要求加盖公章之处，联合体各方均须按要求加盖公章。</w:t>
      </w:r>
      <w:r>
        <w:rPr>
          <w:highlight w:val="none"/>
        </w:rPr>
      </w:r>
      <w:r/>
    </w:p>
    <w:p>
      <w:pPr>
        <w:ind w:firstLine="420"/>
        <w:rPr>
          <w:rFonts w:hint="eastAsia" w:ascii="宋体" w:hAnsi="宋体"/>
          <w:sz w:val="24"/>
          <w:highlight w:val="none"/>
        </w:rPr>
      </w:pPr>
      <w:r>
        <w:rPr>
          <w:rFonts w:hint="eastAsia" w:ascii="宋体" w:hAnsi="宋体"/>
          <w:sz w:val="24"/>
          <w:highlight w:val="none"/>
        </w:rPr>
        <w:t xml:space="preserve">35.</w:t>
      </w:r>
      <w:r>
        <w:rPr>
          <w:rFonts w:hint="eastAsia" w:ascii="宋体" w:hAnsi="宋体"/>
          <w:b/>
          <w:bCs/>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highlight w:val="none"/>
          <w:lang w:val="zh-CN"/>
        </w:rPr>
        <w:t xml:space="preserve">供应商对除上述事项以外其他事项的询问、质疑向交易中心提出，由交易中心负责答复。</w:t>
      </w:r>
      <w:r>
        <w:rPr>
          <w:highlight w:val="none"/>
        </w:rPr>
      </w:r>
      <w:r/>
    </w:p>
    <w:p>
      <w:pPr>
        <w:ind w:firstLine="422"/>
        <w:rPr>
          <w:rFonts w:hint="eastAsia" w:ascii="宋体" w:hAnsi="宋体"/>
          <w:b/>
          <w:bCs/>
          <w:sz w:val="24"/>
          <w:highlight w:val="none"/>
        </w:rPr>
      </w:pPr>
      <w:r>
        <w:rPr>
          <w:rFonts w:hint="eastAsia" w:ascii="宋体" w:hAnsi="宋体"/>
          <w:b/>
          <w:bCs/>
          <w:sz w:val="24"/>
          <w:highlight w:val="none"/>
          <w:lang w:val="zh-CN"/>
        </w:rPr>
        <w:t xml:space="preserve">采购人《质疑函》接收人及联系方式见招标文件第一章。</w:t>
      </w:r>
      <w:r>
        <w:rPr>
          <w:highlight w:val="none"/>
        </w:rPr>
      </w:r>
      <w:r/>
    </w:p>
    <w:p>
      <w:pPr>
        <w:ind w:firstLine="420"/>
        <w:rPr>
          <w:rFonts w:hint="eastAsia" w:ascii="宋体" w:hAnsi="宋体"/>
          <w:sz w:val="24"/>
          <w:lang w:val="zh-CN"/>
        </w:rPr>
      </w:pPr>
      <w:r>
        <w:rPr>
          <w:rFonts w:hint="eastAsia" w:ascii="宋体" w:hAnsi="宋体"/>
          <w:sz w:val="24"/>
          <w:lang w:val="zh-CN"/>
        </w:rPr>
        <w:t xml:space="preserve">交易中心质疑接收部门为业务受理科（快递运单上的收件人填写“业务受理科”即可），联系地址：南京市江宁区杨家圩路2号市民中心 A区3楼南京市公共资源交易中心江宁分中心A314业务受理科，联系电话：025-69634313。</w:t>
      </w:r>
      <w:r/>
    </w:p>
    <w:p>
      <w:pPr>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  </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w:t>
      </w:r>
      <w:r>
        <w:rPr>
          <w:rFonts w:hint="eastAsia" w:ascii="宋体" w:hAnsi="宋体"/>
          <w:sz w:val="24"/>
        </w:rPr>
        <w:t xml:space="preserve">采购</w:t>
      </w:r>
      <w:r>
        <w:rPr>
          <w:rFonts w:hint="eastAsia" w:ascii="宋体" w:hAnsi="宋体"/>
          <w:sz w:val="24"/>
          <w:lang w:val="zh-CN"/>
        </w:rPr>
        <w:t xml:space="preserve">活动或在</w:t>
      </w:r>
      <w:r>
        <w:rPr>
          <w:rFonts w:hint="eastAsia" w:ascii="宋体" w:hAnsi="宋体"/>
          <w:sz w:val="24"/>
        </w:rPr>
        <w:t xml:space="preserve">采购</w:t>
      </w:r>
      <w:r>
        <w:rPr>
          <w:rFonts w:hint="eastAsia" w:ascii="宋体" w:hAnsi="宋体"/>
          <w:sz w:val="24"/>
          <w:lang w:val="zh-CN"/>
        </w:rPr>
        <w:t xml:space="preserve">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29"/>
        <w:ind w:firstLine="465"/>
        <w:spacing w:before="145" w:after="145" w:line="240" w:lineRule="auto"/>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九、政策功能落实</w:t>
      </w:r>
      <w:r/>
    </w:p>
    <w:p>
      <w:pPr>
        <w:pStyle w:val="930"/>
        <w:ind w:firstLine="422"/>
        <w:spacing w:before="0" w:after="0" w:line="240" w:lineRule="auto"/>
        <w:rPr>
          <w:rFonts w:hint="eastAsia" w:ascii="方正楷体_GBK" w:hAnsi="方正楷体_GBK" w:eastAsia="方正楷体_GBK" w:cs="方正楷体_GBK"/>
          <w:lang w:val="zh-CN" w:eastAsia="zh-CN"/>
        </w:rPr>
      </w:pPr>
      <w:r>
        <w:rPr>
          <w:rFonts w:hint="eastAsia" w:ascii="方正楷体_GBK" w:hAnsi="方正楷体_GBK" w:eastAsia="方正楷体_GBK" w:cs="方正楷体_GBK"/>
          <w:lang w:val="zh-CN" w:eastAsia="zh-CN"/>
        </w:rPr>
        <w:t xml:space="preserve">38.促进中小企业发展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本项目中的货物全部由中小企业制造的，投标供应商享受中小企业扶持政策。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val="zh-CN" w:eastAsia="zh-CN"/>
        </w:rPr>
        <w:t xml:space="preserve">3</w:t>
      </w:r>
      <w:r>
        <w:rPr>
          <w:rFonts w:hint="eastAsia" w:ascii="方正楷体_GBK" w:hAnsi="方正楷体_GBK" w:eastAsia="方正楷体_GBK" w:cs="方正楷体_GBK"/>
          <w:lang w:eastAsia="zh-CN"/>
        </w:rPr>
        <w:t xml:space="preserve">9</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eastAsia="zh-CN"/>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40</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eastAsia="zh-CN"/>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41</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eastAsia="zh-CN"/>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93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42.</w:t>
      </w:r>
      <w:r>
        <w:rPr>
          <w:rFonts w:hint="eastAsia" w:ascii="方正楷体_GBK" w:hAnsi="方正楷体_GBK" w:eastAsia="方正楷体_GBK" w:cs="方正楷体_GBK"/>
          <w:lang w:val="zh-CN" w:eastAsia="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rPr>
          <w:rFonts w:hint="eastAsia" w:ascii="宋体" w:hAnsi="宋体"/>
          <w:sz w:val="24"/>
          <w:lang w:val="zh-CN"/>
        </w:rPr>
      </w:pPr>
      <w:r>
        <w:rPr>
          <w:rFonts w:hint="eastAsia" w:ascii="宋体" w:hAnsi="宋体"/>
          <w:sz w:val="24"/>
          <w:lang w:val="zh-CN"/>
        </w:rPr>
      </w:r>
      <w:r/>
    </w:p>
    <w:p>
      <w:pPr>
        <w:pStyle w:val="774"/>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774"/>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774"/>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774"/>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6"/>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186" w:name="_Toc16938559"/>
      <w:r/>
      <w:bookmarkStart w:id="187" w:name="_Toc20823315"/>
      <w:r/>
      <w:bookmarkStart w:id="188" w:name="_Toc513029243"/>
      <w:r/>
      <w:bookmarkStart w:id="189" w:name="_Hlt16619350"/>
      <w:r/>
      <w:bookmarkStart w:id="190" w:name="_Toc20823346"/>
      <w:r/>
      <w:bookmarkStart w:id="191" w:name="_Toc16938590"/>
      <w:r/>
      <w:bookmarkStart w:id="192" w:name="_Toc120614244"/>
      <w:r/>
      <w:bookmarkStart w:id="193" w:name="_Toc462564139"/>
      <w:r/>
      <w:bookmarkStart w:id="194"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outlineLvl w:val="0"/>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hint="eastAsia" w:ascii="宋体" w:hAnsi="宋体" w:cs="Courier New"/>
          <w:color w:val="000000"/>
          <w:sz w:val="24"/>
          <w:szCs w:val="24"/>
        </w:rPr>
        <w:outlineLvl w:val="0"/>
      </w:pPr>
      <w:r>
        <w:rPr>
          <w:rFonts w:ascii="宋体" w:hAnsi="宋体" w:cs="Courier New"/>
          <w:color w:val="000000"/>
          <w:sz w:val="24"/>
          <w:szCs w:val="24"/>
        </w:rPr>
        <w:t xml:space="preserve">乙方（卖方）：</w:t>
      </w:r>
      <w:r/>
    </w:p>
    <w:p>
      <w:pPr>
        <w:spacing w:line="264" w:lineRule="auto"/>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63"/>
        <w:spacing w:line="264" w:lineRule="auto"/>
        <w:rPr>
          <w:rFonts w:hint="eastAsia" w:hAnsi="宋体" w:cs="Courier New"/>
          <w:color w:val="000000"/>
          <w:sz w:val="24"/>
          <w:szCs w:val="24"/>
          <w:lang w:eastAsia="zh-CN"/>
        </w:rPr>
      </w:pPr>
      <w:r>
        <w:rPr>
          <w:rFonts w:hAnsi="宋体" w:cs="Courier New"/>
          <w:color w:val="000000"/>
          <w:sz w:val="24"/>
          <w:szCs w:val="24"/>
          <w:lang w:eastAsia="zh-CN"/>
        </w:rPr>
        <w:t xml:space="preserve">2.1 </w:t>
      </w:r>
      <w:r>
        <w:rPr>
          <w:rFonts w:hint="eastAsia" w:hAnsi="宋体" w:cs="Courier New"/>
          <w:sz w:val="24"/>
          <w:szCs w:val="24"/>
          <w:lang w:eastAsia="zh-CN"/>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五、产</w:t>
      </w:r>
      <w:r>
        <w:rPr>
          <w:rFonts w:hint="eastAsia" w:ascii="方正黑体_GBK" w:hAnsi="方正黑体_GBK" w:eastAsia="方正黑体_GBK" w:cs="方正黑体_GBK"/>
          <w:bCs/>
          <w:sz w:val="24"/>
          <w:szCs w:val="24"/>
        </w:rPr>
        <w:t xml:space="preserve">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rPr>
      </w:pPr>
      <w:r>
        <w:rPr>
          <w:rFonts w:hint="eastAsia" w:ascii="宋体" w:hAnsi="宋体" w:cs="Courier New"/>
          <w:sz w:val="24"/>
        </w:rPr>
        <w:t xml:space="preserve">6.1本项目乙方无需缴纳履约保证金。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rPr>
      </w:pPr>
      <w:r>
        <w:rPr>
          <w:rFonts w:hint="eastAsia" w:ascii="宋体" w:hAnsi="宋体" w:cs="Courier New"/>
          <w:sz w:val="24"/>
        </w:rPr>
        <w:t xml:space="preserve">7.1 乙方不得将合同标的转包给他人履行。</w:t>
      </w:r>
      <w:r/>
    </w:p>
    <w:p>
      <w:pPr>
        <w:spacing w:line="264" w:lineRule="auto"/>
        <w:rPr>
          <w:rFonts w:hint="eastAsia" w:ascii="宋体" w:hAnsi="宋体" w:cs="Courier New"/>
          <w:sz w:val="24"/>
        </w:rPr>
      </w:pPr>
      <w:r>
        <w:rPr>
          <w:rFonts w:hint="eastAsia" w:ascii="宋体" w:hAnsi="宋体" w:cs="Courier New"/>
          <w:sz w:val="24"/>
        </w:rPr>
        <w:t xml:space="preserve">7.2 </w:t>
      </w:r>
      <w:r>
        <w:rPr>
          <w:rFonts w:hint="eastAsia" w:ascii="宋体" w:hAnsi="宋体" w:cs="Courier New"/>
          <w:color w:val="000000"/>
          <w:sz w:val="24"/>
          <w:szCs w:val="24"/>
        </w:rPr>
        <w:t xml:space="preserve">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sz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52"/>
        <w:spacing w:line="264" w:lineRule="auto"/>
        <w:rPr>
          <w:rFonts w:hint="eastAsia" w:hAnsi="宋体"/>
          <w:sz w:val="24"/>
          <w:szCs w:val="24"/>
        </w:rPr>
      </w:pPr>
      <w:r/>
      <w:bookmarkStart w:id="195" w:name="OLE_LINK1"/>
      <w:r>
        <w:rPr>
          <w:rFonts w:hint="eastAsia" w:hAnsi="宋体"/>
          <w:sz w:val="24"/>
          <w:szCs w:val="24"/>
        </w:rPr>
        <w:t xml:space="preserve">8.1 合同款项的支付方式及时间</w:t>
      </w:r>
      <w:r/>
    </w:p>
    <w:p>
      <w:pPr>
        <w:pStyle w:val="752"/>
        <w:spacing w:line="264" w:lineRule="auto"/>
        <w:rPr>
          <w:rFonts w:hint="eastAsia" w:hAnsi="宋体"/>
          <w:sz w:val="24"/>
          <w:szCs w:val="24"/>
        </w:rPr>
      </w:pPr>
      <w:r>
        <w:rPr>
          <w:rFonts w:hint="eastAsia" w:hAnsi="宋体"/>
          <w:sz w:val="24"/>
          <w:szCs w:val="24"/>
        </w:rPr>
        <w:t xml:space="preserve">8.1.1 合同签订10个工作日内支付合同总额的50%；</w:t>
      </w:r>
      <w:r/>
    </w:p>
    <w:p>
      <w:pPr>
        <w:pStyle w:val="752"/>
        <w:spacing w:line="264" w:lineRule="auto"/>
        <w:rPr>
          <w:rFonts w:hint="eastAsia" w:hAnsi="宋体"/>
          <w:sz w:val="24"/>
          <w:szCs w:val="24"/>
        </w:rPr>
      </w:pPr>
      <w:r>
        <w:rPr>
          <w:rFonts w:hint="eastAsia" w:hAnsi="宋体"/>
          <w:sz w:val="24"/>
          <w:szCs w:val="24"/>
        </w:rPr>
        <w:t xml:space="preserve">8.1.2 项目内容清单中所有设备安装完成、相关接口对接完成、实际数据完成逻辑闭环处理形成可输出结果，采购人签字验收合格后10个工作日内支付合同款的余款；</w:t>
      </w:r>
      <w:r/>
    </w:p>
    <w:p>
      <w:pPr>
        <w:pStyle w:val="752"/>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75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63"/>
        <w:spacing w:line="264" w:lineRule="auto"/>
        <w:rPr>
          <w:rFonts w:hint="eastAsia" w:hAnsi="宋体" w:cs="Courier New"/>
          <w:sz w:val="24"/>
          <w:szCs w:val="24"/>
          <w:lang w:eastAsia="zh-CN"/>
        </w:rPr>
      </w:pPr>
      <w:r>
        <w:rPr>
          <w:rFonts w:hint="eastAsia" w:hAnsi="宋体"/>
          <w:sz w:val="24"/>
          <w:szCs w:val="24"/>
          <w:lang w:eastAsia="zh-CN"/>
        </w:rPr>
        <w:t xml:space="preserve">8.3 当采购数量与实际使用数量不一致时，乙方应根据实际使用量供货，合同的最终结算金额按实际使用量乘以成交单价进行计算。</w:t>
      </w:r>
      <w:bookmarkEnd w:id="195"/>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10.2.3 退货</w:t>
      </w:r>
      <w:r>
        <w:rPr>
          <w:rFonts w:hint="eastAsia" w:ascii="宋体" w:hAnsi="宋体" w:cs="Courier New"/>
          <w:sz w:val="24"/>
          <w:szCs w:val="24"/>
        </w:rPr>
        <w:t xml:space="preserve">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供应商提供同城4小时、异地12小时技术响应服务，2个工作日解决问题，对于未能解决的问题和故障应提供可行的升级方案，并提供周转设备或更换设备；</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投标供应商承诺年限内</w:t>
      </w:r>
      <w:r>
        <w:rPr>
          <w:rFonts w:hint="eastAsia" w:ascii="宋体" w:hAnsi="宋体" w:cs="Courier New"/>
          <w:sz w:val="24"/>
          <w:szCs w:val="24"/>
        </w:rPr>
        <w:t xml:space="preserve">，因人为因素出现的故障不在质保范围内。超过质保期的乙方负责终生维修，维修时只收取部件成本费。质保期内如同一故障发生三次，或在 1周内无法修复，供应商无条件换货，24小时内更换新机。</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11.2 甲方在组织履约验收前，将根据项目特点制定验收方案，明确验收的时间</w:t>
      </w:r>
      <w:r>
        <w:rPr>
          <w:rFonts w:hint="eastAsia" w:ascii="宋体" w:hAnsi="宋体" w:cs="Courier New"/>
          <w:color w:val="000000"/>
          <w:sz w:val="24"/>
          <w:szCs w:val="24"/>
        </w:rPr>
        <w:t xml:space="preserve">、方式、程序等内容，并可根据项目特点对服务期内的服务实施情况进行分期考核，综合考核情况和服务效果进行验收。乙方应根据验收方案做好相应配合工作。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w:t>
      </w:r>
      <w:r>
        <w:rPr>
          <w:rFonts w:hint="eastAsia" w:ascii="宋体" w:hAnsi="宋体" w:cs="Courier New"/>
          <w:sz w:val="24"/>
          <w:szCs w:val="24"/>
        </w:rPr>
        <w:t xml:space="preserve">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11.7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本项目中如涉及网络关键设备或网络安全专用产品的，应严格执行国家互联网信息办公室、工业和信息化部、公安部、财政部和国家认证认可监督管理委员会2023年第1 号《关于调整</w:t>
      </w:r>
      <w:r>
        <w:rPr>
          <w:rFonts w:hint="eastAsia" w:ascii="宋体" w:hAnsi="宋体" w:cs="Courier New"/>
          <w:color w:val="000000"/>
          <w:sz w:val="24"/>
          <w:szCs w:val="24"/>
        </w:rPr>
        <w:t xml:space="preserve">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本项目中如涉及国家强制性产品认证证书（CCC认证证书）、电信设备进网许可证、无线电发射设备核准证等市场准入类资质的，应严格执行国家相关法律法规的要求。</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cs="Courier New"/>
          <w:sz w:val="24"/>
          <w:szCs w:val="24"/>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6"/>
      <w:r/>
      <w:bookmarkEnd w:id="187"/>
      <w:r/>
      <w:bookmarkEnd w:id="188"/>
      <w:r/>
      <w:r/>
    </w:p>
    <w:p>
      <w:pPr>
        <w:pStyle w:val="963"/>
        <w:spacing w:before="120" w:after="120" w:line="264" w:lineRule="auto"/>
        <w:rPr>
          <w:rFonts w:hint="eastAsia" w:hAnsi="宋体" w:cs="Courier New"/>
          <w:sz w:val="24"/>
          <w:szCs w:val="24"/>
          <w:lang w:eastAsia="zh-CN"/>
        </w:rPr>
      </w:pPr>
      <w:r/>
      <w:bookmarkStart w:id="196" w:name="_Hlt16619369"/>
      <w:r/>
      <w:bookmarkEnd w:id="196"/>
      <w:r>
        <w:rPr>
          <w:rFonts w:hint="eastAsia" w:hAnsi="宋体" w:cs="Courier New"/>
          <w:sz w:val="24"/>
          <w:szCs w:val="24"/>
          <w:lang w:eastAsia="zh-CN"/>
        </w:rPr>
        <w:t xml:space="preserve">  </w:t>
      </w:r>
      <w:r/>
    </w:p>
    <w:p>
      <w:pPr>
        <w:pStyle w:val="963"/>
        <w:spacing w:before="120" w:after="120" w:line="264" w:lineRule="auto"/>
        <w:rPr>
          <w:rFonts w:hint="eastAsia" w:hAnsi="宋体" w:cs="Courier New"/>
          <w:sz w:val="24"/>
          <w:szCs w:val="24"/>
        </w:rPr>
      </w:pPr>
      <w:r>
        <w:rPr>
          <w:rFonts w:hint="eastAsia" w:hAnsi="宋体" w:cs="Courier New"/>
          <w:sz w:val="24"/>
          <w:szCs w:val="24"/>
        </w:rPr>
        <w:t xml:space="preserve">甲</w:t>
      </w:r>
      <w:r>
        <w:rPr>
          <w:rFonts w:hint="eastAsia" w:hAnsi="宋体" w:cs="Courier New"/>
          <w:sz w:val="24"/>
          <w:szCs w:val="24"/>
          <w:lang w:eastAsia="zh-CN"/>
        </w:rPr>
        <w:t xml:space="preserve">  </w:t>
      </w:r>
      <w:r>
        <w:rPr>
          <w:rFonts w:hint="eastAsia" w:hAnsi="宋体" w:cs="Courier New"/>
          <w:sz w:val="24"/>
          <w:szCs w:val="24"/>
        </w:rPr>
        <w:t xml:space="preserve">方：</w:t>
      </w:r>
      <w:r>
        <w:rPr>
          <w:rFonts w:hint="eastAsia" w:hAnsi="宋体" w:cs="Courier New"/>
          <w:sz w:val="24"/>
          <w:szCs w:val="24"/>
          <w:lang w:eastAsia="zh-CN"/>
        </w:rPr>
        <w:t xml:space="preserve">（公章）</w:t>
      </w:r>
      <w:r>
        <w:rPr>
          <w:rFonts w:hint="eastAsia" w:hAnsi="宋体" w:cs="Courier New"/>
          <w:sz w:val="24"/>
          <w:szCs w:val="24"/>
        </w:rPr>
        <w:t xml:space="preserve">                       乙</w:t>
      </w:r>
      <w:r>
        <w:rPr>
          <w:rFonts w:hint="eastAsia" w:hAnsi="宋体" w:cs="Courier New"/>
          <w:sz w:val="24"/>
          <w:szCs w:val="24"/>
          <w:lang w:eastAsia="zh-CN"/>
        </w:rPr>
        <w:t xml:space="preserve">  </w:t>
      </w:r>
      <w:r>
        <w:rPr>
          <w:rFonts w:hint="eastAsia" w:hAnsi="宋体" w:cs="Courier New"/>
          <w:sz w:val="24"/>
          <w:szCs w:val="24"/>
        </w:rPr>
        <w:t xml:space="preserve">方：</w:t>
      </w:r>
      <w:r>
        <w:rPr>
          <w:rFonts w:hint="eastAsia" w:hAnsi="宋体" w:cs="Courier New"/>
          <w:sz w:val="24"/>
          <w:szCs w:val="24"/>
          <w:lang w:eastAsia="zh-CN"/>
        </w:rPr>
        <w:t xml:space="preserve">（公章）</w:t>
      </w:r>
      <w:r>
        <w:rPr>
          <w:rFonts w:hint="eastAsia" w:hAnsi="宋体" w:cs="Courier New"/>
          <w:sz w:val="24"/>
          <w:szCs w:val="24"/>
        </w:rPr>
        <w:t xml:space="preserve"> </w:t>
      </w:r>
      <w:r/>
    </w:p>
    <w:p>
      <w:pPr>
        <w:pStyle w:val="963"/>
        <w:spacing w:before="120" w:after="120" w:line="264" w:lineRule="auto"/>
        <w:rPr>
          <w:rFonts w:hint="eastAsia" w:hAnsi="宋体" w:cs="Courier New"/>
          <w:sz w:val="24"/>
          <w:szCs w:val="24"/>
          <w:lang w:eastAsia="zh-CN"/>
        </w:rPr>
      </w:pPr>
      <w:r>
        <w:rPr>
          <w:rFonts w:hint="eastAsia" w:hAnsi="宋体" w:cs="Courier New"/>
          <w:sz w:val="24"/>
          <w:szCs w:val="24"/>
          <w:lang w:eastAsia="zh-CN"/>
        </w:rPr>
        <w:t xml:space="preserve">地  址：                               地  址： </w:t>
      </w:r>
      <w:r/>
    </w:p>
    <w:p>
      <w:pPr>
        <w:pStyle w:val="963"/>
        <w:spacing w:before="120" w:after="120" w:line="264" w:lineRule="auto"/>
        <w:rPr>
          <w:rFonts w:hint="eastAsia" w:hAnsi="宋体" w:cs="Courier New"/>
          <w:sz w:val="24"/>
          <w:szCs w:val="24"/>
          <w:lang w:eastAsia="zh-CN"/>
        </w:rPr>
      </w:pPr>
      <w:r>
        <w:rPr>
          <w:rFonts w:hint="eastAsia" w:hAnsi="宋体" w:cs="Courier New"/>
          <w:sz w:val="24"/>
          <w:szCs w:val="24"/>
          <w:lang w:eastAsia="zh-CN"/>
        </w:rPr>
        <w:t xml:space="preserve">法定代表人或授权代表：                 法定代表人或授权代表：</w:t>
      </w:r>
      <w:r/>
    </w:p>
    <w:p>
      <w:pPr>
        <w:pStyle w:val="963"/>
        <w:spacing w:before="120" w:after="120" w:line="264" w:lineRule="auto"/>
        <w:rPr>
          <w:rFonts w:hint="eastAsia" w:hAnsi="宋体" w:cs="Courier New"/>
          <w:sz w:val="24"/>
          <w:szCs w:val="24"/>
          <w:lang w:eastAsia="zh-CN"/>
        </w:rPr>
      </w:pPr>
      <w:r>
        <w:rPr>
          <w:rFonts w:hint="eastAsia" w:hAnsi="宋体" w:cs="Courier New"/>
          <w:sz w:val="24"/>
          <w:szCs w:val="24"/>
          <w:lang w:eastAsia="zh-CN"/>
        </w:rPr>
        <w:t xml:space="preserve">联系电话：                             联系电话：          </w:t>
      </w:r>
      <w:r/>
    </w:p>
    <w:p>
      <w:pPr>
        <w:pStyle w:val="963"/>
        <w:spacing w:before="120" w:after="120" w:line="264" w:lineRule="auto"/>
        <w:rPr>
          <w:rFonts w:hint="eastAsia" w:hAnsi="宋体" w:cs="Courier New"/>
          <w:sz w:val="24"/>
          <w:szCs w:val="24"/>
          <w:lang w:eastAsia="zh-CN"/>
        </w:rPr>
      </w:pPr>
      <w:r>
        <w:rPr>
          <w:rFonts w:hint="eastAsia" w:hAnsi="宋体" w:cs="Courier New"/>
          <w:sz w:val="24"/>
          <w:szCs w:val="24"/>
          <w:lang w:eastAsia="zh-CN"/>
        </w:rPr>
        <w:t xml:space="preserve">                                          </w:t>
      </w:r>
      <w:r/>
    </w:p>
    <w:p>
      <w:pPr>
        <w:pStyle w:val="963"/>
        <w:ind w:firstLine="4800"/>
        <w:spacing w:before="120" w:after="120" w:line="264" w:lineRule="auto"/>
        <w:rPr>
          <w:rFonts w:hint="eastAsia" w:hAnsi="宋体" w:cs="Courier New"/>
          <w:sz w:val="24"/>
          <w:szCs w:val="24"/>
          <w:lang w:eastAsia="zh-CN"/>
        </w:rPr>
      </w:pPr>
      <w:r>
        <w:rPr>
          <w:rFonts w:hint="eastAsia" w:hAnsi="宋体" w:cs="Courier New"/>
          <w:sz w:val="24"/>
          <w:szCs w:val="24"/>
          <w:lang w:eastAsia="zh-CN"/>
        </w:rPr>
        <w:t xml:space="preserve">签订日期：      </w:t>
      </w:r>
      <w:r/>
    </w:p>
    <w:p>
      <w:pPr>
        <w:pStyle w:val="963"/>
        <w:jc w:val="left"/>
        <w:spacing w:before="120" w:after="120" w:line="264" w:lineRule="auto"/>
        <w:rPr>
          <w:rFonts w:hint="eastAsia" w:hAnsi="宋体" w:cs="Courier New"/>
          <w:sz w:val="24"/>
          <w:szCs w:val="24"/>
          <w:lang w:eastAsia="zh-CN"/>
        </w:rPr>
      </w:pPr>
      <w:r>
        <w:rPr>
          <w:rFonts w:hint="eastAsia" w:ascii="方正黑体_GBK" w:hAnsi="方正黑体_GBK" w:eastAsia="方正黑体_GBK" w:cs="方正黑体_GBK"/>
          <w:bCs/>
          <w:sz w:val="24"/>
          <w:lang w:eastAsia="zh-CN"/>
        </w:rPr>
        <w:t xml:space="preserve">附件清单</w:t>
      </w:r>
      <w:r>
        <w:rPr>
          <w:rFonts w:hint="eastAsia" w:hAnsi="宋体"/>
          <w:b/>
          <w:sz w:val="30"/>
          <w:lang w:eastAsia="zh-CN"/>
        </w:rPr>
        <w:t xml:space="preserve">：</w:t>
      </w:r>
      <w:r/>
    </w:p>
    <w:tbl>
      <w:tblPr>
        <w:tblStyle w:val="742"/>
        <w:tblW w:w="6842" w:type="dxa"/>
        <w:jc w:val="center"/>
        <w:tblLayout w:type="autofit"/>
        <w:tblCellMar>
          <w:left w:w="108" w:type="dxa"/>
          <w:top w:w="0" w:type="dxa"/>
          <w:right w:w="108" w:type="dxa"/>
          <w:bottom w:w="0" w:type="dxa"/>
        </w:tblCellMar>
        <w:tblLook w:val="04A0" w:firstRow="1" w:lastRow="0" w:firstColumn="1" w:lastColumn="0" w:noHBand="0" w:noVBand="1"/>
      </w:tblPr>
      <w:tblGrid>
        <w:gridCol w:w="988"/>
        <w:gridCol w:w="2334"/>
        <w:gridCol w:w="980"/>
        <w:gridCol w:w="802"/>
        <w:gridCol w:w="758"/>
        <w:gridCol w:w="980"/>
      </w:tblGrid>
      <w:tr>
        <w:trPr>
          <w:jc w:val="center"/>
          <w:trHeight w:val="276"/>
        </w:trPr>
        <w:tc>
          <w:tcPr>
            <w:tcBorders>
              <w:top w:val="single" w:color="auto" w:sz="4" w:space="0"/>
              <w:left w:val="single" w:color="auto" w:sz="4" w:space="0"/>
              <w:bottom w:val="single" w:color="auto" w:sz="4" w:space="0"/>
              <w:right w:val="single" w:color="auto" w:sz="4" w:space="0"/>
            </w:tcBorders>
            <w:tcW w:w="988"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334"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名称</w:t>
            </w:r>
            <w:r/>
          </w:p>
        </w:tc>
        <w:tc>
          <w:tcPr>
            <w:tcBorders>
              <w:top w:val="single" w:color="auto" w:sz="4" w:space="0"/>
              <w:left w:val="none" w:color="000000" w:sz="4" w:space="0"/>
              <w:bottom w:val="single" w:color="auto" w:sz="4" w:space="0"/>
              <w:right w:val="single" w:color="auto" w:sz="4" w:space="0"/>
            </w:tcBorders>
            <w:tcW w:w="980"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802"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758"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单价</w:t>
            </w:r>
            <w:r/>
          </w:p>
        </w:tc>
        <w:tc>
          <w:tcPr>
            <w:tcBorders>
              <w:top w:val="single" w:color="auto" w:sz="4" w:space="0"/>
              <w:left w:val="none" w:color="000000" w:sz="4" w:space="0"/>
              <w:bottom w:val="single" w:color="auto" w:sz="4" w:space="0"/>
              <w:right w:val="single" w:color="auto" w:sz="4" w:space="0"/>
            </w:tcBorders>
            <w:tcW w:w="980"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合价</w:t>
            </w:r>
            <w:r/>
          </w:p>
        </w:tc>
      </w:tr>
      <w:tr>
        <w:trPr>
          <w:jc w:val="center"/>
          <w:trHeight w:val="276"/>
        </w:trPr>
        <w:tc>
          <w:tcPr>
            <w:tcBorders>
              <w:top w:val="none" w:color="000000" w:sz="4" w:space="0"/>
              <w:left w:val="single" w:color="auto" w:sz="4" w:space="0"/>
              <w:bottom w:val="single" w:color="auto" w:sz="4" w:space="0"/>
              <w:right w:val="single" w:color="auto" w:sz="4" w:space="0"/>
            </w:tcBorders>
            <w:tcW w:w="988"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2334" w:type="dxa"/>
            <w:textDirection w:val="lrTb"/>
            <w:noWrap/>
          </w:tcPr>
          <w:p>
            <w:pPr>
              <w:jc w:val="left"/>
              <w:widowControl/>
              <w:rPr>
                <w:rFonts w:hint="eastAsia" w:ascii="宋体" w:hAnsi="宋体" w:cs="Courier New"/>
                <w:color w:val="000000"/>
                <w:sz w:val="24"/>
                <w:szCs w:val="24"/>
              </w:rPr>
            </w:pPr>
            <w:r>
              <w:rPr>
                <w:rFonts w:hint="eastAsia" w:cs="等线"/>
                <w:sz w:val="24"/>
                <w:szCs w:val="24"/>
              </w:rPr>
              <w:t xml:space="preserve">多模态推理一体化集成设备</w:t>
            </w:r>
            <w:r/>
          </w:p>
        </w:tc>
        <w:tc>
          <w:tcPr>
            <w:tcBorders>
              <w:top w:val="none" w:color="000000" w:sz="4" w:space="0"/>
              <w:left w:val="none" w:color="000000" w:sz="4" w:space="0"/>
              <w:bottom w:val="single" w:color="auto" w:sz="4" w:space="0"/>
              <w:right w:val="single" w:color="auto" w:sz="4" w:space="0"/>
            </w:tcBorders>
            <w:tcW w:w="980"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802" w:type="dxa"/>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套</w:t>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80" w:type="dxa"/>
            <w:vAlign w:val="center"/>
            <w:textDirection w:val="lrTb"/>
            <w:noWrap/>
          </w:tcPr>
          <w:p>
            <w:pPr>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　</w:t>
            </w:r>
            <w:r/>
          </w:p>
        </w:tc>
      </w:tr>
    </w:tbl>
    <w:p>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963"/>
        <w:ind w:firstLine="480"/>
        <w:jc w:val="left"/>
        <w:spacing w:before="120" w:after="120" w:line="264" w:lineRule="auto"/>
        <w:rPr>
          <w:rFonts w:hint="eastAsia" w:hAnsi="宋体"/>
          <w:color w:val="000000"/>
          <w:sz w:val="24"/>
          <w:szCs w:val="24"/>
          <w:lang w:eastAsia="zh-CN"/>
        </w:rPr>
      </w:pPr>
      <w:r>
        <w:rPr>
          <w:rFonts w:hint="eastAsia" w:hAnsi="宋体"/>
          <w:color w:val="000000"/>
          <w:sz w:val="24"/>
          <w:szCs w:val="24"/>
          <w:lang w:eastAsia="zh-CN"/>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9"/>
      <w:r>
        <w:rPr>
          <w:rFonts w:hint="eastAsia" w:ascii="方正小标宋简体" w:hAnsi="方正小标宋简体" w:eastAsia="方正小标宋简体" w:cs="方正小标宋简体"/>
          <w:color w:val="000000"/>
          <w:sz w:val="36"/>
          <w:szCs w:val="36"/>
        </w:rPr>
        <w:t xml:space="preserve">四章  采购需求</w:t>
      </w:r>
      <w:bookmarkEnd w:id="190"/>
      <w:r/>
      <w:bookmarkEnd w:id="191"/>
      <w:r/>
      <w:bookmarkEnd w:id="192"/>
      <w:r/>
      <w:r/>
    </w:p>
    <w:p>
      <w:pPr>
        <w:ind w:firstLine="480"/>
        <w:spacing w:line="264" w:lineRule="auto"/>
        <w:rPr>
          <w:rFonts w:hint="eastAsia" w:ascii="黑体" w:hAnsi="黑体" w:eastAsia="黑体" w:cs="黑体"/>
          <w:color w:val="000000"/>
          <w:sz w:val="24"/>
          <w:szCs w:val="24"/>
        </w:rPr>
      </w:pPr>
      <w:r/>
      <w:bookmarkStart w:id="197" w:name="_Toc49090575"/>
      <w:r/>
      <w:bookmarkStart w:id="198"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sz w:val="24"/>
          <w:szCs w:val="24"/>
        </w:rPr>
      </w:pPr>
      <w:r>
        <w:rPr>
          <w:rFonts w:hint="eastAsia" w:ascii="宋体" w:hAnsi="宋体"/>
          <w:sz w:val="24"/>
          <w:szCs w:val="24"/>
        </w:rPr>
        <w:t xml:space="preserve">南京市公安局江宁分局科技化装备和系统在情报主导、维稳处突、指挥调度、专业化打击、联动共治、风险防控等工作中的作用日益凸显。近年来智慧警务赋能江宁公安工作，通过高压震慑和多维数据研判、靶向打击，和人民群众利益密切相关案件的预防方面成果显著，但算力和多模态推理应用赋能领域成效不佳。</w:t>
      </w:r>
      <w:r/>
    </w:p>
    <w:p>
      <w:pPr>
        <w:ind w:firstLine="480"/>
        <w:spacing w:line="264" w:lineRule="auto"/>
        <w:rPr>
          <w:rFonts w:hint="eastAsia" w:ascii="宋体" w:hAnsi="宋体"/>
          <w:sz w:val="24"/>
          <w:szCs w:val="24"/>
        </w:rPr>
      </w:pPr>
      <w:r>
        <w:rPr>
          <w:rFonts w:hint="eastAsia" w:ascii="宋体" w:hAnsi="宋体"/>
          <w:sz w:val="24"/>
          <w:szCs w:val="24"/>
        </w:rPr>
        <w:t xml:space="preserve">根据2024年10月16日王小洪部长在全国公安厅局长座谈会上的部署要求，要求建立完善“专业+机制+大数据”新型警务运行模式，要大力推进新技术装备建设应用。江宁公安通过对警务装备和系统现状摸排、正视警务工作创新应用困难和短板，梳理“打防管建治”的实战要求，明确数据共享和赋能方向，结合国务院、公安部、江苏省相关政策要求，启动南京市公安局江宁分局采购数据建模使用多模态推理一体机采购工作。</w:t>
      </w:r>
      <w:r/>
    </w:p>
    <w:p>
      <w:pPr>
        <w:ind w:firstLine="480"/>
        <w:spacing w:line="264" w:lineRule="auto"/>
        <w:rPr>
          <w:rFonts w:hint="eastAsia" w:ascii="宋体" w:hAnsi="宋体"/>
          <w:sz w:val="24"/>
          <w:szCs w:val="24"/>
        </w:rPr>
      </w:pPr>
      <w:r>
        <w:rPr>
          <w:rFonts w:hint="eastAsia" w:ascii="宋体" w:hAnsi="宋体"/>
          <w:sz w:val="24"/>
          <w:szCs w:val="24"/>
        </w:rPr>
        <w:t xml:space="preserve">本次项目部署需要配置专业的项目负责人和技术负责人，项目交付团队需要配置5名以上的专业人员，人员具备云部署、IT服务、信息安全相关服务能力。同时项目涉及相应的接口对接和推理训练，需要对软件架构、现有系统数据流向分析的熟悉的、对公安行业了解的软件人员提供专业服务。</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sz w:val="24"/>
          <w:szCs w:val="24"/>
        </w:rPr>
      </w:pPr>
      <w:r>
        <w:rPr>
          <w:rFonts w:hint="eastAsia" w:ascii="宋体" w:hAnsi="宋体"/>
          <w:sz w:val="24"/>
          <w:szCs w:val="24"/>
        </w:rPr>
        <w:t xml:space="preserve">《安全防范视频监控人脸识别系统技术要求》（GB/T 31488-2015）</w:t>
      </w:r>
      <w:r/>
    </w:p>
    <w:p>
      <w:pPr>
        <w:ind w:firstLine="480"/>
        <w:spacing w:line="264" w:lineRule="auto"/>
        <w:rPr>
          <w:rFonts w:hint="eastAsia" w:ascii="宋体" w:hAnsi="宋体"/>
          <w:sz w:val="24"/>
          <w:szCs w:val="24"/>
        </w:rPr>
      </w:pPr>
      <w:r>
        <w:rPr>
          <w:rFonts w:hint="eastAsia" w:ascii="宋体" w:hAnsi="宋体"/>
          <w:sz w:val="24"/>
          <w:szCs w:val="24"/>
        </w:rPr>
        <w:t xml:space="preserve">《公共安全视频监控联网系统信息传输、交换、控制技术要求》（GB/T 28181-2016）</w:t>
      </w:r>
      <w:r/>
    </w:p>
    <w:p>
      <w:pPr>
        <w:ind w:firstLine="480"/>
        <w:spacing w:line="264" w:lineRule="auto"/>
        <w:rPr>
          <w:rFonts w:hint="eastAsia" w:ascii="宋体" w:hAnsi="宋体"/>
          <w:sz w:val="24"/>
          <w:szCs w:val="24"/>
        </w:rPr>
      </w:pPr>
      <w:r>
        <w:rPr>
          <w:rFonts w:hint="eastAsia" w:ascii="宋体" w:hAnsi="宋体"/>
          <w:sz w:val="24"/>
          <w:szCs w:val="24"/>
        </w:rPr>
        <w:t xml:space="preserve">《公共安全人脸识别应用图像技术要求》（GB/T 35678-2017）</w:t>
      </w:r>
      <w:r/>
    </w:p>
    <w:p>
      <w:pPr>
        <w:ind w:firstLine="480"/>
        <w:spacing w:line="264" w:lineRule="auto"/>
        <w:rPr>
          <w:rFonts w:hint="eastAsia" w:ascii="宋体" w:hAnsi="宋体"/>
          <w:sz w:val="24"/>
          <w:szCs w:val="24"/>
        </w:rPr>
      </w:pPr>
      <w:r>
        <w:rPr>
          <w:rFonts w:hint="eastAsia" w:ascii="宋体" w:hAnsi="宋体"/>
          <w:sz w:val="24"/>
          <w:szCs w:val="24"/>
        </w:rPr>
        <w:t xml:space="preserve">《通信管道工程施工及验收标准》（GB/T 50374-2018）</w:t>
      </w:r>
      <w:r/>
    </w:p>
    <w:p>
      <w:pPr>
        <w:ind w:firstLine="480"/>
        <w:spacing w:line="264" w:lineRule="auto"/>
        <w:rPr>
          <w:rFonts w:hint="eastAsia" w:ascii="宋体" w:hAnsi="宋体"/>
          <w:sz w:val="24"/>
          <w:szCs w:val="24"/>
        </w:rPr>
      </w:pPr>
      <w:r>
        <w:rPr>
          <w:rFonts w:hint="eastAsia" w:ascii="宋体" w:hAnsi="宋体"/>
          <w:sz w:val="24"/>
          <w:szCs w:val="24"/>
        </w:rPr>
        <w:t xml:space="preserve">《机动车号牌图像自动识别技术规范》（GA/T 833-2016）</w:t>
      </w:r>
      <w:r/>
    </w:p>
    <w:p>
      <w:pPr>
        <w:ind w:firstLine="480"/>
        <w:spacing w:line="264" w:lineRule="auto"/>
        <w:rPr>
          <w:rFonts w:hint="eastAsia" w:ascii="宋体" w:hAnsi="宋体"/>
          <w:sz w:val="24"/>
          <w:szCs w:val="24"/>
        </w:rPr>
      </w:pPr>
      <w:r>
        <w:rPr>
          <w:rFonts w:hint="eastAsia" w:ascii="宋体" w:hAnsi="宋体"/>
          <w:sz w:val="24"/>
          <w:szCs w:val="24"/>
        </w:rPr>
        <w:t xml:space="preserve">《安全防范工程建设与维护保养费用预算编制办法》（GA/T 70-2014）</w:t>
      </w:r>
      <w:r/>
    </w:p>
    <w:p>
      <w:pPr>
        <w:ind w:firstLine="480"/>
        <w:spacing w:line="264" w:lineRule="auto"/>
        <w:rPr>
          <w:rFonts w:hint="eastAsia" w:ascii="宋体" w:hAnsi="宋体"/>
          <w:sz w:val="24"/>
          <w:szCs w:val="24"/>
        </w:rPr>
      </w:pPr>
      <w:r>
        <w:rPr>
          <w:rFonts w:hint="eastAsia" w:ascii="宋体" w:hAnsi="宋体"/>
          <w:sz w:val="24"/>
          <w:szCs w:val="24"/>
        </w:rPr>
        <w:t xml:space="preserve">《安全防范工程技术文件编制深度要求》（GA/T 1185-2014）</w:t>
      </w:r>
      <w:r/>
    </w:p>
    <w:p>
      <w:pPr>
        <w:ind w:firstLine="480"/>
        <w:spacing w:line="264" w:lineRule="auto"/>
        <w:rPr>
          <w:rFonts w:hint="eastAsia" w:ascii="宋体" w:hAnsi="宋体"/>
          <w:sz w:val="24"/>
          <w:szCs w:val="24"/>
        </w:rPr>
      </w:pPr>
      <w:r>
        <w:rPr>
          <w:rFonts w:hint="eastAsia" w:ascii="宋体" w:hAnsi="宋体"/>
          <w:sz w:val="24"/>
          <w:szCs w:val="24"/>
        </w:rPr>
        <w:t xml:space="preserve">《人脸识别设备通用规范》（SJ/T 11608-2016）</w:t>
      </w:r>
      <w:r/>
    </w:p>
    <w:p>
      <w:pPr>
        <w:ind w:firstLine="480"/>
        <w:spacing w:line="264" w:lineRule="auto"/>
        <w:rPr>
          <w:rFonts w:hint="eastAsia" w:ascii="宋体" w:hAnsi="宋体"/>
          <w:sz w:val="24"/>
          <w:szCs w:val="24"/>
        </w:rPr>
      </w:pPr>
      <w:r>
        <w:rPr>
          <w:rFonts w:hint="eastAsia" w:ascii="宋体" w:hAnsi="宋体"/>
          <w:sz w:val="24"/>
          <w:szCs w:val="24"/>
        </w:rPr>
        <w:t xml:space="preserve">《公安视频图像分析系统第1部分：通用技术要求》(GA/T 1399.1-2017)</w:t>
      </w:r>
      <w:r/>
    </w:p>
    <w:p>
      <w:pPr>
        <w:ind w:firstLine="480"/>
        <w:spacing w:line="264" w:lineRule="auto"/>
        <w:rPr>
          <w:rFonts w:hint="eastAsia" w:ascii="宋体" w:hAnsi="宋体"/>
          <w:sz w:val="24"/>
          <w:szCs w:val="24"/>
        </w:rPr>
      </w:pPr>
      <w:r>
        <w:rPr>
          <w:rFonts w:hint="eastAsia" w:ascii="宋体" w:hAnsi="宋体"/>
          <w:sz w:val="24"/>
          <w:szCs w:val="24"/>
        </w:rPr>
        <w:t xml:space="preserve">《公安视频图像分析系统第2部分：视频图像内容分析及描述技术要求》(GA/T1399.2-2017)</w:t>
      </w:r>
      <w:r/>
    </w:p>
    <w:p>
      <w:pPr>
        <w:ind w:firstLine="480"/>
        <w:spacing w:line="264" w:lineRule="auto"/>
        <w:rPr>
          <w:rFonts w:hint="eastAsia" w:ascii="宋体" w:hAnsi="宋体"/>
          <w:sz w:val="24"/>
          <w:szCs w:val="24"/>
        </w:rPr>
      </w:pPr>
      <w:r>
        <w:rPr>
          <w:rFonts w:hint="eastAsia" w:ascii="宋体" w:hAnsi="宋体"/>
          <w:sz w:val="24"/>
          <w:szCs w:val="24"/>
        </w:rPr>
        <w:t xml:space="preserve">《公安视频图像信息应用系统第1部分：通用技术要求》(GA/T 1400.1-2017)</w:t>
      </w:r>
      <w:r/>
    </w:p>
    <w:p>
      <w:pPr>
        <w:ind w:firstLine="480"/>
        <w:spacing w:line="264" w:lineRule="auto"/>
        <w:rPr>
          <w:rFonts w:hint="eastAsia" w:ascii="宋体" w:hAnsi="宋体"/>
          <w:sz w:val="24"/>
          <w:szCs w:val="24"/>
        </w:rPr>
      </w:pPr>
      <w:r>
        <w:rPr>
          <w:rFonts w:hint="eastAsia" w:ascii="宋体" w:hAnsi="宋体"/>
          <w:sz w:val="24"/>
          <w:szCs w:val="24"/>
        </w:rPr>
        <w:t xml:space="preserve">《公安视频图像信息应用系统第2部分：应用平台技术要求》(GA/T 1400.2-2017)</w:t>
      </w:r>
      <w:r/>
    </w:p>
    <w:p>
      <w:pPr>
        <w:ind w:firstLine="480"/>
        <w:spacing w:line="264" w:lineRule="auto"/>
        <w:rPr>
          <w:rFonts w:hint="eastAsia" w:ascii="宋体" w:hAnsi="宋体"/>
          <w:sz w:val="24"/>
          <w:szCs w:val="24"/>
        </w:rPr>
      </w:pPr>
      <w:r>
        <w:rPr>
          <w:rFonts w:hint="eastAsia" w:ascii="宋体" w:hAnsi="宋体"/>
          <w:sz w:val="24"/>
          <w:szCs w:val="24"/>
        </w:rPr>
        <w:t xml:space="preserve">《公安视频图像信息应用系统第3部分：数据库技术要求》(GA/T 1400.3-2017)</w:t>
      </w:r>
      <w:r/>
    </w:p>
    <w:p>
      <w:pPr>
        <w:ind w:firstLine="480"/>
        <w:spacing w:line="264" w:lineRule="auto"/>
        <w:rPr>
          <w:rFonts w:hint="eastAsia" w:ascii="宋体" w:hAnsi="宋体"/>
          <w:sz w:val="24"/>
          <w:szCs w:val="24"/>
        </w:rPr>
      </w:pPr>
      <w:r>
        <w:rPr>
          <w:rFonts w:hint="eastAsia" w:ascii="宋体" w:hAnsi="宋体"/>
          <w:sz w:val="24"/>
          <w:szCs w:val="24"/>
        </w:rPr>
        <w:t xml:space="preserve">《公安视频图像信息应用系统第4部分接口协议要求》(GA/T 1400.4-2017)</w:t>
      </w:r>
      <w:r/>
    </w:p>
    <w:p>
      <w:pPr>
        <w:ind w:firstLine="480"/>
        <w:spacing w:line="264" w:lineRule="auto"/>
        <w:rPr>
          <w:rFonts w:hint="eastAsia" w:ascii="宋体" w:hAnsi="宋体"/>
          <w:sz w:val="24"/>
          <w:szCs w:val="24"/>
        </w:rPr>
      </w:pPr>
      <w:r>
        <w:rPr>
          <w:rFonts w:hint="eastAsia" w:ascii="宋体" w:hAnsi="宋体"/>
          <w:sz w:val="24"/>
          <w:szCs w:val="24"/>
        </w:rPr>
        <w:t xml:space="preserve">《安全防范人脸识别应用分类》（GA/T 1470-2018）</w:t>
      </w:r>
      <w:r/>
    </w:p>
    <w:p>
      <w:pPr>
        <w:ind w:firstLine="480"/>
        <w:spacing w:line="264" w:lineRule="auto"/>
        <w:rPr>
          <w:rFonts w:hint="eastAsia" w:ascii="宋体" w:hAnsi="宋体"/>
          <w:sz w:val="24"/>
          <w:szCs w:val="24"/>
        </w:rPr>
      </w:pPr>
      <w:r>
        <w:rPr>
          <w:rFonts w:hint="eastAsia" w:ascii="宋体" w:hAnsi="宋体"/>
          <w:sz w:val="24"/>
          <w:szCs w:val="24"/>
        </w:rPr>
        <w:t xml:space="preserve">《公安视频监控人像/人脸识别应用技术要求》（GA/T 1756-2020）</w:t>
      </w:r>
      <w:r/>
    </w:p>
    <w:p>
      <w:pPr>
        <w:ind w:firstLine="480"/>
        <w:spacing w:line="264" w:lineRule="auto"/>
        <w:rPr>
          <w:rFonts w:hint="eastAsia" w:ascii="宋体" w:hAnsi="宋体"/>
          <w:sz w:val="24"/>
          <w:szCs w:val="24"/>
        </w:rPr>
      </w:pPr>
      <w:r>
        <w:rPr>
          <w:rFonts w:hint="eastAsia" w:ascii="宋体" w:hAnsi="宋体"/>
          <w:sz w:val="24"/>
          <w:szCs w:val="24"/>
        </w:rPr>
        <w:t xml:space="preserve">《公安视频图像信息系统安全技术要求》（GA/T 1788-2021）</w:t>
      </w:r>
      <w:r/>
    </w:p>
    <w:p>
      <w:pPr>
        <w:ind w:firstLine="480"/>
        <w:spacing w:line="264" w:lineRule="auto"/>
        <w:rPr>
          <w:rFonts w:hint="eastAsia" w:ascii="宋体" w:hAnsi="宋体"/>
          <w:sz w:val="24"/>
          <w:szCs w:val="24"/>
        </w:rPr>
      </w:pPr>
      <w:r>
        <w:rPr>
          <w:rFonts w:hint="eastAsia" w:ascii="宋体" w:hAnsi="宋体"/>
          <w:sz w:val="24"/>
          <w:szCs w:val="24"/>
        </w:rPr>
        <w:t xml:space="preserve">招标文件涉及标准中未标年号的一律采用最新的标准；随着标准的修订，以修订后的最新标准为依据。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tbl>
      <w:tblPr>
        <w:tblStyle w:val="742"/>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55"/>
        <w:gridCol w:w="2179"/>
        <w:gridCol w:w="492"/>
        <w:gridCol w:w="492"/>
        <w:gridCol w:w="1697"/>
        <w:gridCol w:w="974"/>
        <w:gridCol w:w="974"/>
        <w:gridCol w:w="974"/>
        <w:gridCol w:w="1442"/>
        <w:gridCol w:w="525"/>
      </w:tblGrid>
      <w:tr>
        <w:trPr>
          <w:jc w:val="center"/>
          <w:tblHeader/>
        </w:trPr>
        <w:tc>
          <w:tcPr>
            <w:tcW w:w="455"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序号</w:t>
            </w:r>
            <w:r/>
          </w:p>
        </w:tc>
        <w:tc>
          <w:tcPr>
            <w:tcW w:w="2179"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分项名称</w:t>
            </w:r>
            <w:r/>
          </w:p>
        </w:tc>
        <w:tc>
          <w:tcPr>
            <w:tcW w:w="492"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数量</w:t>
            </w:r>
            <w:r/>
          </w:p>
        </w:tc>
        <w:tc>
          <w:tcPr>
            <w:tcW w:w="492"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单位</w:t>
            </w:r>
            <w:r/>
          </w:p>
        </w:tc>
        <w:tc>
          <w:tcPr>
            <w:tcW w:w="1697"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单价上限（元）</w:t>
            </w:r>
            <w:r/>
          </w:p>
        </w:tc>
        <w:tc>
          <w:tcPr>
            <w:tcW w:w="974"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产品类型</w:t>
            </w:r>
            <w:r/>
          </w:p>
        </w:tc>
        <w:tc>
          <w:tcPr>
            <w:tcW w:w="974"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所属行业</w:t>
            </w:r>
            <w:r/>
          </w:p>
        </w:tc>
        <w:tc>
          <w:tcPr>
            <w:tcW w:w="974"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产品属性</w:t>
            </w:r>
            <w:r/>
          </w:p>
        </w:tc>
        <w:tc>
          <w:tcPr>
            <w:tcW w:w="1442"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政府强制采购节能产品</w:t>
            </w:r>
            <w:r/>
          </w:p>
        </w:tc>
        <w:tc>
          <w:tcPr>
            <w:tcW w:w="525" w:type="dxa"/>
            <w:vAlign w:val="center"/>
            <w:textDirection w:val="lrTb"/>
            <w:noWrap/>
          </w:tcPr>
          <w:p>
            <w:pPr>
              <w:jc w:val="center"/>
              <w:widowControl/>
              <w:rPr>
                <w:rFonts w:hint="eastAsia" w:ascii="宋体" w:hAnsi="宋体"/>
                <w:b/>
                <w:sz w:val="24"/>
                <w:szCs w:val="24"/>
              </w:rPr>
            </w:pPr>
            <w:r>
              <w:rPr>
                <w:rFonts w:hint="eastAsia" w:ascii="宋体" w:hAnsi="宋体"/>
                <w:b/>
                <w:sz w:val="24"/>
                <w:szCs w:val="24"/>
              </w:rPr>
              <w:t xml:space="preserve">备注</w:t>
            </w:r>
            <w:r/>
          </w:p>
        </w:tc>
      </w:tr>
      <w:tr>
        <w:trPr>
          <w:jc w:val="center"/>
        </w:trPr>
        <w:tc>
          <w:tcPr>
            <w:tcW w:w="455" w:type="dxa"/>
            <w:vAlign w:val="center"/>
            <w:textDirection w:val="lrTb"/>
            <w:noWrap/>
          </w:tcPr>
          <w:p>
            <w:pPr>
              <w:jc w:val="center"/>
              <w:widowControl/>
              <w:rPr>
                <w:rFonts w:hint="eastAsia" w:ascii="宋体" w:hAnsi="宋体"/>
                <w:sz w:val="24"/>
                <w:szCs w:val="24"/>
              </w:rPr>
            </w:pPr>
            <w:r>
              <w:rPr>
                <w:rFonts w:hint="eastAsia" w:ascii="宋体" w:hAnsi="宋体"/>
                <w:sz w:val="24"/>
                <w:szCs w:val="24"/>
              </w:rPr>
              <w:t xml:space="preserve">1</w:t>
            </w:r>
            <w:r/>
          </w:p>
        </w:tc>
        <w:tc>
          <w:tcPr>
            <w:tcW w:w="2179" w:type="dxa"/>
            <w:vAlign w:val="center"/>
            <w:textDirection w:val="lrTb"/>
            <w:noWrap/>
          </w:tcPr>
          <w:p>
            <w:pPr>
              <w:jc w:val="center"/>
              <w:widowControl/>
              <w:rPr>
                <w:rFonts w:hint="eastAsia" w:ascii="宋体" w:hAnsi="宋体"/>
                <w:sz w:val="24"/>
                <w:szCs w:val="24"/>
              </w:rPr>
            </w:pPr>
            <w:r>
              <w:rPr>
                <w:rFonts w:hint="eastAsia" w:ascii="宋体" w:cs="等线"/>
                <w:sz w:val="24"/>
                <w:szCs w:val="24"/>
              </w:rPr>
              <w:t xml:space="preserve">多模态推理一体化集成设备</w:t>
            </w:r>
            <w:r/>
          </w:p>
        </w:tc>
        <w:tc>
          <w:tcPr>
            <w:tcW w:w="492" w:type="dxa"/>
            <w:vAlign w:val="center"/>
            <w:textDirection w:val="lrTb"/>
            <w:noWrap/>
          </w:tcPr>
          <w:p>
            <w:pPr>
              <w:jc w:val="center"/>
              <w:widowControl/>
              <w:rPr>
                <w:rFonts w:hint="eastAsia" w:ascii="宋体" w:hAnsi="宋体"/>
                <w:sz w:val="24"/>
                <w:szCs w:val="24"/>
              </w:rPr>
            </w:pPr>
            <w:r>
              <w:rPr>
                <w:rFonts w:hint="eastAsia" w:ascii="宋体" w:hAnsi="宋体"/>
                <w:sz w:val="24"/>
                <w:szCs w:val="24"/>
              </w:rPr>
              <w:t xml:space="preserve">2</w:t>
            </w:r>
            <w:r/>
          </w:p>
        </w:tc>
        <w:tc>
          <w:tcPr>
            <w:tcW w:w="492" w:type="dxa"/>
            <w:vAlign w:val="center"/>
            <w:textDirection w:val="lrTb"/>
            <w:noWrap/>
          </w:tcPr>
          <w:p>
            <w:pPr>
              <w:jc w:val="center"/>
              <w:widowControl/>
              <w:rPr>
                <w:rFonts w:hint="eastAsia" w:ascii="宋体" w:hAnsi="宋体"/>
                <w:sz w:val="24"/>
                <w:szCs w:val="24"/>
              </w:rPr>
            </w:pPr>
            <w:r>
              <w:rPr>
                <w:rFonts w:hint="eastAsia" w:ascii="宋体" w:hAnsi="宋体"/>
                <w:sz w:val="24"/>
                <w:szCs w:val="24"/>
              </w:rPr>
              <w:t xml:space="preserve">套</w:t>
            </w:r>
            <w:r/>
          </w:p>
        </w:tc>
        <w:tc>
          <w:tcPr>
            <w:tcW w:w="1697" w:type="dxa"/>
            <w:vAlign w:val="center"/>
            <w:textDirection w:val="lrTb"/>
            <w:noWrap/>
          </w:tcPr>
          <w:p>
            <w:pPr>
              <w:jc w:val="center"/>
              <w:widowControl/>
              <w:rPr>
                <w:rFonts w:hint="eastAsia" w:ascii="宋体" w:hAnsi="宋体"/>
                <w:sz w:val="24"/>
                <w:szCs w:val="24"/>
              </w:rPr>
            </w:pPr>
            <w:r>
              <w:rPr>
                <w:rFonts w:hint="eastAsia" w:ascii="宋体" w:hAnsi="宋体"/>
                <w:sz w:val="24"/>
                <w:szCs w:val="24"/>
              </w:rPr>
              <w:t xml:space="preserve">1500000</w:t>
            </w:r>
            <w:r/>
          </w:p>
        </w:tc>
        <w:tc>
          <w:tcPr>
            <w:tcW w:w="974" w:type="dxa"/>
            <w:vAlign w:val="center"/>
            <w:textDirection w:val="lrTb"/>
            <w:noWrap/>
          </w:tcPr>
          <w:p>
            <w:pPr>
              <w:jc w:val="center"/>
              <w:widowControl/>
              <w:rPr>
                <w:rFonts w:hint="eastAsia" w:ascii="宋体" w:hAnsi="宋体"/>
                <w:sz w:val="24"/>
                <w:szCs w:val="24"/>
              </w:rPr>
            </w:pPr>
            <w:r>
              <w:rPr>
                <w:rFonts w:hint="eastAsia" w:ascii="宋体" w:hAnsi="宋体"/>
                <w:sz w:val="24"/>
                <w:szCs w:val="24"/>
              </w:rPr>
              <w:t xml:space="preserve">核心产品</w:t>
            </w:r>
            <w:r/>
          </w:p>
        </w:tc>
        <w:tc>
          <w:tcPr>
            <w:tcW w:w="974" w:type="dxa"/>
            <w:vAlign w:val="center"/>
            <w:textDirection w:val="lrTb"/>
            <w:noWrap/>
          </w:tcPr>
          <w:p>
            <w:pPr>
              <w:jc w:val="center"/>
              <w:widowControl/>
              <w:rPr>
                <w:rFonts w:hint="eastAsia" w:ascii="宋体" w:hAnsi="宋体"/>
                <w:sz w:val="24"/>
                <w:szCs w:val="24"/>
              </w:rPr>
            </w:pPr>
            <w:r>
              <w:rPr>
                <w:rFonts w:hint="eastAsia" w:ascii="宋体" w:hAnsi="宋体"/>
                <w:sz w:val="24"/>
                <w:szCs w:val="24"/>
              </w:rPr>
              <w:t xml:space="preserve">工业</w:t>
            </w:r>
            <w:r/>
          </w:p>
        </w:tc>
        <w:tc>
          <w:tcPr>
            <w:tcW w:w="974" w:type="dxa"/>
            <w:vAlign w:val="center"/>
            <w:textDirection w:val="lrTb"/>
            <w:noWrap/>
          </w:tcPr>
          <w:p>
            <w:pPr>
              <w:jc w:val="center"/>
              <w:widowControl/>
              <w:rPr>
                <w:rFonts w:hint="eastAsia" w:ascii="宋体" w:hAnsi="宋体"/>
                <w:sz w:val="24"/>
                <w:szCs w:val="24"/>
              </w:rPr>
            </w:pPr>
            <w:r>
              <w:rPr>
                <w:rFonts w:hint="eastAsia" w:ascii="宋体" w:hAnsi="宋体"/>
                <w:sz w:val="24"/>
                <w:szCs w:val="24"/>
              </w:rPr>
              <w:t xml:space="preserve">货物</w:t>
            </w:r>
            <w:r/>
          </w:p>
        </w:tc>
        <w:tc>
          <w:tcPr>
            <w:tcW w:w="1442" w:type="dxa"/>
            <w:vAlign w:val="center"/>
            <w:textDirection w:val="lrTb"/>
            <w:noWrap/>
          </w:tcPr>
          <w:p>
            <w:pPr>
              <w:jc w:val="center"/>
              <w:widowControl/>
              <w:rPr>
                <w:rFonts w:hint="eastAsia" w:ascii="宋体" w:hAnsi="宋体"/>
                <w:sz w:val="24"/>
                <w:szCs w:val="24"/>
              </w:rPr>
            </w:pPr>
            <w:r>
              <w:rPr>
                <w:rFonts w:hint="eastAsia" w:ascii="宋体" w:hAnsi="宋体"/>
                <w:sz w:val="24"/>
                <w:szCs w:val="24"/>
              </w:rPr>
              <w:t xml:space="preserve">否</w:t>
            </w:r>
            <w:r/>
          </w:p>
        </w:tc>
        <w:tc>
          <w:tcPr>
            <w:tcW w:w="525" w:type="dxa"/>
            <w:vAlign w:val="center"/>
            <w:textDirection w:val="lrTb"/>
            <w:noWrap/>
          </w:tcPr>
          <w:p>
            <w:pPr>
              <w:jc w:val="center"/>
              <w:widowControl/>
              <w:rPr>
                <w:rFonts w:hint="eastAsia" w:ascii="宋体" w:hAnsi="宋体"/>
                <w:sz w:val="24"/>
                <w:szCs w:val="24"/>
              </w:rPr>
            </w:pPr>
            <w:r>
              <w:rPr>
                <w:rFonts w:hint="eastAsia" w:ascii="宋体" w:hAnsi="宋体"/>
                <w:sz w:val="24"/>
                <w:szCs w:val="24"/>
              </w:rPr>
            </w:r>
            <w:r/>
          </w:p>
        </w:tc>
      </w:tr>
    </w:tbl>
    <w:p>
      <w:pPr>
        <w:pStyle w:val="999"/>
      </w:pPr>
      <w:r/>
      <w:r/>
    </w:p>
    <w:p>
      <w:pPr>
        <w:numPr>
          <w:ilvl w:val="0"/>
          <w:numId w:val="5"/>
        </w:num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拟采购标的需要满足的技术、商务要求</w:t>
      </w:r>
      <w:r/>
    </w:p>
    <w:p>
      <w:pPr>
        <w:numPr>
          <w:ilvl w:val="0"/>
          <w:numId w:val="6"/>
        </w:numPr>
        <w:ind w:firstLine="480"/>
        <w:spacing w:line="264" w:lineRule="auto"/>
        <w:rPr>
          <w:rFonts w:hint="eastAsia" w:ascii="宋体" w:hAnsi="宋体" w:cs="宋体"/>
          <w:bCs/>
          <w:sz w:val="24"/>
          <w:szCs w:val="24"/>
        </w:rPr>
      </w:pPr>
      <w:r>
        <w:rPr>
          <w:rFonts w:hint="eastAsia" w:ascii="宋体" w:hAnsi="宋体" w:cs="宋体"/>
          <w:bCs/>
          <w:sz w:val="24"/>
          <w:szCs w:val="24"/>
        </w:rPr>
        <w:t xml:space="preserve">技术要求</w:t>
      </w:r>
      <w:r/>
    </w:p>
    <w:p>
      <w:pPr>
        <w:pStyle w:val="775"/>
        <w:ind w:firstLine="480"/>
        <w:rPr>
          <w:rFonts w:hint="eastAsia" w:cs="等线"/>
          <w:sz w:val="24"/>
          <w:szCs w:val="24"/>
          <w:lang w:eastAsia="zh-CN"/>
        </w:rPr>
      </w:pPr>
      <w:r>
        <w:rPr>
          <w:rFonts w:hint="eastAsia" w:cs="等线"/>
          <w:sz w:val="24"/>
          <w:szCs w:val="24"/>
          <w:lang w:eastAsia="zh-CN"/>
        </w:rPr>
        <w:t xml:space="preserve">1.多模态推理一体化集成设备</w:t>
      </w:r>
      <w:r/>
    </w:p>
    <w:tbl>
      <w:tblPr>
        <w:tblStyle w:val="742"/>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bookmarkStart w:id="199" w:name="OLE_LINK7"/>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功能、性能、配置要求不低于以下要求</w:t>
            </w:r>
            <w:r/>
          </w:p>
        </w:tc>
      </w:tr>
      <w:tr>
        <w:trP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等线"/>
                <w:b/>
                <w:bCs/>
                <w:sz w:val="24"/>
                <w:szCs w:val="24"/>
              </w:rPr>
            </w:pPr>
            <w:r>
              <w:rPr>
                <w:rFonts w:hint="eastAsia" w:ascii="宋体" w:hAnsi="宋体" w:cs="等线"/>
                <w:b/>
                <w:bCs/>
                <w:sz w:val="24"/>
                <w:szCs w:val="24"/>
              </w:rPr>
              <w:t xml:space="preserve">以下1-4项为本项目实质性要求，投标时提供加盖公章的承诺函，未按要求提供承诺函或承诺函内容不全作无效投标处理。</w:t>
            </w:r>
            <w:r/>
          </w:p>
          <w:p>
            <w:pPr>
              <w:rPr>
                <w:rFonts w:hint="eastAsia" w:ascii="宋体" w:hAnsi="宋体" w:cs="等线"/>
                <w:b/>
                <w:bCs/>
                <w:sz w:val="24"/>
                <w:szCs w:val="24"/>
              </w:rPr>
            </w:pPr>
            <w:r>
              <w:rPr>
                <w:rFonts w:hint="eastAsia" w:ascii="宋体" w:hAnsi="宋体" w:cs="等线"/>
                <w:b/>
                <w:bCs/>
                <w:sz w:val="24"/>
                <w:szCs w:val="24"/>
              </w:rPr>
              <w:t xml:space="preserve">1.供应商承诺（格式自拟）：本次提供的多模态推理一体化集成设备整机质保（含换件和维修）不少于2年。</w:t>
            </w:r>
            <w:r/>
          </w:p>
          <w:p>
            <w:pPr>
              <w:rPr>
                <w:rFonts w:hint="eastAsia" w:ascii="宋体" w:hAnsi="宋体" w:cs="等线"/>
                <w:b/>
                <w:bCs/>
                <w:sz w:val="24"/>
                <w:szCs w:val="24"/>
              </w:rPr>
            </w:pPr>
            <w:r>
              <w:rPr>
                <w:rFonts w:hint="eastAsia"/>
                <w:b/>
                <w:bCs/>
              </w:rPr>
              <w:t xml:space="preserve">2.</w:t>
            </w:r>
            <w:r>
              <w:rPr>
                <w:rFonts w:hint="eastAsia" w:ascii="宋体" w:hAnsi="宋体" w:cs="等线"/>
                <w:b/>
                <w:bCs/>
                <w:sz w:val="24"/>
                <w:szCs w:val="24"/>
              </w:rPr>
              <w:t xml:space="preserve"> 供应商承诺（格式自拟）：中标后，根据采购人提供的网络架构和现有云计算中心部署规划，供应商出具部署方案进行供采购人审批，部署服务不得中断和影响其它业务系统运行。</w:t>
            </w:r>
            <w:r/>
          </w:p>
          <w:p>
            <w:pPr>
              <w:rPr>
                <w:rFonts w:hint="eastAsia" w:ascii="宋体" w:hAnsi="宋体" w:cs="等线"/>
                <w:b/>
                <w:bCs/>
                <w:sz w:val="24"/>
                <w:szCs w:val="24"/>
              </w:rPr>
            </w:pPr>
            <w:r>
              <w:rPr>
                <w:rFonts w:hint="eastAsia" w:ascii="宋体" w:hAnsi="宋体" w:cs="等线"/>
                <w:b/>
                <w:bCs/>
                <w:sz w:val="24"/>
                <w:szCs w:val="24"/>
              </w:rPr>
              <w:t xml:space="preserve">3.供应商承诺（格式自拟）：本次设备部署人员遵守采购人的数据与安全保密管理及监督制度，人员自愿接受相关背景审查，部署和后期维护期间，如果发生安全违规或泄密事件，供应商承担一切法律责任。</w:t>
            </w:r>
            <w:r/>
          </w:p>
          <w:p>
            <w:r>
              <w:rPr>
                <w:rFonts w:hint="eastAsia" w:ascii="宋体" w:hAnsi="宋体" w:cs="等线"/>
                <w:b/>
                <w:bCs/>
                <w:sz w:val="24"/>
                <w:szCs w:val="24"/>
              </w:rPr>
              <w:t xml:space="preserve">4.供应商承诺（格式自拟）：本次涉及接口对接人员遵守采购人的数据与安全保密管理及监督制度，人员自愿接受相关背景审查，所有对接工作均在采购人云计算中心完成，开发需要配置的终端由供应商提供，对接和开发期间，如果发生安全违规或泄密事件，供应商承担一切法律责任。</w:t>
            </w:r>
            <w:r/>
          </w:p>
        </w:tc>
      </w:tr>
      <w:tr>
        <w:trP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一.硬件参数要求</w:t>
            </w:r>
            <w:r/>
          </w:p>
          <w:p>
            <w:pPr>
              <w:rPr>
                <w:rFonts w:hint="eastAsia" w:ascii="宋体" w:hAnsi="宋体" w:cs="等线"/>
                <w:sz w:val="24"/>
                <w:szCs w:val="24"/>
              </w:rPr>
            </w:pPr>
            <w:r>
              <w:rPr>
                <w:rFonts w:hint="eastAsia" w:ascii="宋体" w:hAnsi="宋体" w:cs="等线"/>
                <w:sz w:val="24"/>
                <w:szCs w:val="24"/>
              </w:rPr>
              <w:t xml:space="preserve">1．CPU:配置≥4颗RM处理器，单颗核心数≥48，主频≥2.6GHz；</w:t>
            </w:r>
            <w:r/>
          </w:p>
          <w:p>
            <w:pPr>
              <w:rPr>
                <w:rFonts w:hint="eastAsia" w:ascii="宋体" w:hAnsi="宋体" w:cs="等线"/>
                <w:sz w:val="24"/>
                <w:szCs w:val="24"/>
              </w:rPr>
            </w:pPr>
            <w:r>
              <w:rPr>
                <w:rFonts w:hint="eastAsia" w:ascii="宋体" w:hAnsi="宋体" w:cs="等线"/>
                <w:sz w:val="24"/>
                <w:szCs w:val="24"/>
              </w:rPr>
              <w:t xml:space="preserve">2．内存:配置≥32根32GB DDR4内存；</w:t>
            </w:r>
            <w:r/>
          </w:p>
          <w:p>
            <w:pPr>
              <w:rPr>
                <w:rFonts w:hint="eastAsia" w:ascii="宋体" w:hAnsi="宋体" w:cs="等线"/>
                <w:sz w:val="24"/>
                <w:szCs w:val="24"/>
              </w:rPr>
            </w:pPr>
            <w:r>
              <w:rPr>
                <w:rFonts w:hint="eastAsia" w:ascii="宋体" w:hAnsi="宋体" w:cs="等线"/>
                <w:sz w:val="24"/>
                <w:szCs w:val="24"/>
              </w:rPr>
              <w:t xml:space="preserve">3．硬盘:2块480G SSD 硬盘单元，2块3.84TB SSD 硬盘单元；</w:t>
            </w:r>
            <w:r/>
          </w:p>
          <w:p>
            <w:pPr>
              <w:rPr>
                <w:rFonts w:hint="eastAsia" w:ascii="宋体" w:hAnsi="宋体" w:cs="等线"/>
                <w:sz w:val="24"/>
                <w:szCs w:val="24"/>
              </w:rPr>
            </w:pPr>
            <w:r>
              <w:rPr>
                <w:rFonts w:hint="eastAsia" w:ascii="宋体" w:hAnsi="宋体" w:cs="等线"/>
                <w:sz w:val="24"/>
                <w:szCs w:val="24"/>
              </w:rPr>
              <w:t xml:space="preserve">4．AI算力：配置性能不低于8颗昇腾 AI芯片，单颗芯片提供≥280 TFLOPS FP16、≥75 TFLOPS FP32算力,总计提供算力≥2.24 PFLOPS FP16，单个AI芯片内存采用≥64GB HBM；</w:t>
            </w:r>
            <w:r/>
          </w:p>
          <w:p>
            <w:pPr>
              <w:rPr>
                <w:rFonts w:hint="eastAsia" w:ascii="宋体" w:hAnsi="宋体" w:cs="等线"/>
                <w:sz w:val="24"/>
                <w:szCs w:val="24"/>
              </w:rPr>
            </w:pPr>
            <w:r>
              <w:rPr>
                <w:rFonts w:hint="eastAsia" w:ascii="宋体" w:hAnsi="宋体" w:cs="等线"/>
                <w:sz w:val="24"/>
                <w:szCs w:val="24"/>
              </w:rPr>
              <w:t xml:space="preserve">5．网络：配置≥4口10GE/25GE光口网卡（含光模块）;配置≥8口200GE光口网卡（含200G光纤线）；</w:t>
            </w:r>
            <w:r/>
          </w:p>
          <w:p>
            <w:pPr>
              <w:rPr>
                <w:rFonts w:hint="eastAsia" w:ascii="宋体" w:hAnsi="宋体" w:cs="等线"/>
                <w:sz w:val="24"/>
                <w:szCs w:val="24"/>
              </w:rPr>
            </w:pPr>
            <w:r>
              <w:rPr>
                <w:rFonts w:hint="eastAsia" w:ascii="宋体" w:hAnsi="宋体" w:cs="等线"/>
                <w:sz w:val="24"/>
                <w:szCs w:val="24"/>
              </w:rPr>
              <w:t xml:space="preserve">6．电源：配置4块2600W交流电源模块，支持2+2冗余；</w:t>
            </w:r>
            <w:r/>
          </w:p>
          <w:p>
            <w:pPr>
              <w:rPr>
                <w:rFonts w:hint="eastAsia" w:ascii="宋体" w:hAnsi="宋体" w:cs="等线"/>
                <w:sz w:val="24"/>
                <w:szCs w:val="24"/>
              </w:rPr>
            </w:pPr>
            <w:r>
              <w:rPr>
                <w:rFonts w:hint="eastAsia" w:ascii="宋体" w:hAnsi="宋体" w:cs="等线"/>
                <w:sz w:val="24"/>
                <w:szCs w:val="24"/>
              </w:rPr>
              <w:t xml:space="preserve">7.支持与南京市公安局江宁分局现有GPU解析集群（目前为</w:t>
            </w:r>
            <w:r>
              <w:rPr>
                <w:rFonts w:ascii="宋体" w:hAnsi="宋体" w:cs="等线"/>
                <w:sz w:val="24"/>
                <w:szCs w:val="24"/>
              </w:rPr>
              <w:t xml:space="preserve">Atlas 300V PRO 48G</w:t>
            </w:r>
            <w:r>
              <w:rPr>
                <w:rFonts w:hint="eastAsia" w:ascii="宋体" w:hAnsi="宋体" w:cs="等线"/>
                <w:sz w:val="24"/>
                <w:szCs w:val="24"/>
              </w:rPr>
              <w:t xml:space="preserve">集群）统一管理。</w:t>
            </w:r>
            <w:r/>
          </w:p>
          <w:p>
            <w:pPr>
              <w:rPr>
                <w:rFonts w:hint="eastAsia" w:ascii="宋体" w:hAnsi="宋体" w:cs="等线"/>
                <w:sz w:val="24"/>
                <w:szCs w:val="24"/>
              </w:rPr>
            </w:pPr>
            <w:r>
              <w:rPr>
                <w:rFonts w:hint="eastAsia" w:ascii="宋体" w:hAnsi="宋体" w:cs="等线"/>
                <w:sz w:val="24"/>
                <w:szCs w:val="24"/>
              </w:rPr>
              <w:t xml:space="preserve">二．一体化软件参数要求</w:t>
            </w:r>
            <w:r/>
          </w:p>
          <w:p>
            <w:pPr>
              <w:rPr>
                <w:rFonts w:hint="eastAsia" w:ascii="宋体" w:hAnsi="宋体" w:cs="等线"/>
                <w:sz w:val="24"/>
                <w:szCs w:val="24"/>
              </w:rPr>
            </w:pPr>
            <w:r>
              <w:rPr>
                <w:rFonts w:hint="eastAsia" w:ascii="宋体" w:hAnsi="宋体" w:cs="等线"/>
                <w:sz w:val="24"/>
                <w:szCs w:val="24"/>
              </w:rPr>
              <w:t xml:space="preserve">1．</w:t>
            </w:r>
            <w:r>
              <w:rPr>
                <w:rFonts w:ascii="宋体" w:hAnsi="宋体" w:cs="等线"/>
                <w:sz w:val="24"/>
                <w:szCs w:val="24"/>
              </w:rPr>
              <w:t xml:space="preserve">具备私域微调数据的生成和上传能力，可用于SFT微调，支持自定义内容主题生成数据集，上传数据集文件生成数据集，上传数据集JSON文件生成数据集等多种方式</w:t>
            </w:r>
            <w:r>
              <w:rPr>
                <w:rFonts w:hint="eastAsia" w:ascii="宋体" w:hAnsi="宋体" w:cs="等线"/>
                <w:sz w:val="24"/>
                <w:szCs w:val="24"/>
              </w:rPr>
              <w:t xml:space="preserve">；</w:t>
            </w:r>
            <w:r/>
          </w:p>
          <w:p>
            <w:pPr>
              <w:rPr>
                <w:rFonts w:hint="eastAsia" w:ascii="宋体" w:hAnsi="宋体" w:cs="等线"/>
                <w:sz w:val="24"/>
                <w:szCs w:val="24"/>
              </w:rPr>
            </w:pPr>
            <w:r>
              <w:rPr>
                <w:rFonts w:hint="eastAsia" w:ascii="宋体" w:hAnsi="宋体" w:cs="等线"/>
                <w:sz w:val="24"/>
                <w:szCs w:val="24"/>
              </w:rPr>
              <w:t xml:space="preserve">2．</w:t>
            </w:r>
            <w:r>
              <w:rPr>
                <w:rFonts w:ascii="宋体" w:hAnsi="宋体" w:cs="等线"/>
                <w:sz w:val="24"/>
                <w:szCs w:val="24"/>
              </w:rPr>
              <w:t xml:space="preserve">具备SFT无代码微调能力，创建微调任务时，支持可视化的配置基础模型、训练方法、模型参数、数据集、资源信息</w:t>
            </w:r>
            <w:r>
              <w:rPr>
                <w:rFonts w:hint="eastAsia" w:ascii="宋体" w:hAnsi="宋体" w:cs="等线"/>
                <w:sz w:val="24"/>
                <w:szCs w:val="24"/>
              </w:rPr>
              <w:t xml:space="preserve">；</w:t>
            </w:r>
            <w:r/>
          </w:p>
          <w:p>
            <w:pPr>
              <w:rPr>
                <w:rFonts w:hint="eastAsia" w:ascii="宋体" w:hAnsi="宋体" w:cs="等线"/>
                <w:sz w:val="24"/>
                <w:szCs w:val="24"/>
              </w:rPr>
            </w:pPr>
            <w:r>
              <w:rPr>
                <w:rFonts w:hint="eastAsia" w:ascii="宋体" w:hAnsi="宋体" w:cs="等线"/>
                <w:sz w:val="24"/>
                <w:szCs w:val="24"/>
              </w:rPr>
              <w:t xml:space="preserve">3．</w:t>
            </w:r>
            <w:r>
              <w:rPr>
                <w:rFonts w:ascii="宋体" w:hAnsi="宋体" w:cs="等线"/>
                <w:sz w:val="24"/>
                <w:szCs w:val="24"/>
              </w:rPr>
              <w:t xml:space="preserve">支持CMMLU、BFCL的测评能力，新开源模型或内部微调训练模型可以进行标准能力测评</w:t>
            </w:r>
            <w:r>
              <w:rPr>
                <w:rFonts w:hint="eastAsia" w:ascii="宋体" w:hAnsi="宋体" w:cs="等线"/>
                <w:sz w:val="24"/>
                <w:szCs w:val="24"/>
              </w:rPr>
              <w:t xml:space="preserve">；</w:t>
            </w:r>
            <w:r/>
          </w:p>
          <w:p>
            <w:pPr>
              <w:rPr>
                <w:rFonts w:hint="eastAsia" w:ascii="宋体" w:hAnsi="宋体" w:cs="等线"/>
                <w:sz w:val="24"/>
                <w:szCs w:val="24"/>
              </w:rPr>
            </w:pPr>
            <w:r>
              <w:rPr>
                <w:rFonts w:hint="eastAsia" w:ascii="宋体" w:hAnsi="宋体" w:cs="等线"/>
                <w:sz w:val="24"/>
                <w:szCs w:val="24"/>
              </w:rPr>
              <w:t xml:space="preserve">4．</w:t>
            </w:r>
            <w:r>
              <w:rPr>
                <w:rFonts w:ascii="宋体" w:hAnsi="宋体" w:cs="等线"/>
                <w:sz w:val="24"/>
                <w:szCs w:val="24"/>
              </w:rPr>
              <w:t xml:space="preserve">支持LLM节点的添加、编排，LLM节点要支持记忆功能、图片文件输入</w:t>
            </w:r>
            <w:r>
              <w:rPr>
                <w:rFonts w:hint="eastAsia" w:ascii="宋体" w:hAnsi="宋体" w:cs="等线"/>
                <w:sz w:val="24"/>
                <w:szCs w:val="24"/>
              </w:rPr>
              <w:t xml:space="preserve">；</w:t>
            </w:r>
            <w:r/>
          </w:p>
          <w:p>
            <w:pPr>
              <w:rPr>
                <w:rFonts w:hint="eastAsia" w:ascii="宋体" w:hAnsi="宋体" w:cs="等线"/>
                <w:sz w:val="24"/>
                <w:szCs w:val="24"/>
              </w:rPr>
            </w:pPr>
            <w:r>
              <w:rPr>
                <w:rFonts w:hint="eastAsia" w:ascii="宋体" w:hAnsi="宋体" w:cs="等线"/>
                <w:sz w:val="24"/>
                <w:szCs w:val="24"/>
              </w:rPr>
              <w:t xml:space="preserve">5．</w:t>
            </w:r>
            <w:r>
              <w:rPr>
                <w:rFonts w:ascii="宋体" w:hAnsi="宋体" w:cs="等线"/>
                <w:sz w:val="24"/>
                <w:szCs w:val="24"/>
              </w:rPr>
              <w:t xml:space="preserve">提供权限配置管理能力。根据角色提供平台组件能力和自定义配置；知识库、AI应用等组件应具有自定义权限管理能力。</w:t>
            </w:r>
            <w:r/>
          </w:p>
          <w:p>
            <w:pPr>
              <w:rPr>
                <w:rFonts w:hint="eastAsia" w:ascii="宋体" w:hAnsi="宋体" w:cs="等线"/>
                <w:b/>
                <w:bCs/>
                <w:sz w:val="24"/>
                <w:szCs w:val="24"/>
              </w:rPr>
            </w:pPr>
            <w:r>
              <w:rPr>
                <w:rFonts w:hint="eastAsia" w:ascii="宋体" w:hAnsi="宋体" w:cs="宋体"/>
                <w:b/>
                <w:bCs/>
                <w:sz w:val="24"/>
                <w:szCs w:val="24"/>
              </w:rPr>
              <w:t xml:space="preserve">▲</w:t>
            </w:r>
            <w:r>
              <w:rPr>
                <w:rFonts w:hint="eastAsia" w:ascii="宋体" w:hAnsi="宋体" w:cs="等线"/>
                <w:b/>
                <w:bCs/>
                <w:sz w:val="24"/>
                <w:szCs w:val="24"/>
              </w:rPr>
              <w:t xml:space="preserve">6.支持多种大模型服务化推理引擎:Vllm、MindlE、Transformers、Sglang等（提供功能截图上传至投标系统）。</w:t>
            </w:r>
            <w:r/>
          </w:p>
          <w:p>
            <w:pPr>
              <w:rPr>
                <w:rFonts w:hint="eastAsia" w:ascii="宋体" w:hAnsi="宋体" w:cs="等线"/>
                <w:sz w:val="24"/>
                <w:szCs w:val="24"/>
              </w:rPr>
            </w:pPr>
            <w:r>
              <w:rPr>
                <w:rFonts w:hint="eastAsia"/>
              </w:rPr>
              <w:t xml:space="preserve">三</w:t>
            </w:r>
            <w:r>
              <w:rPr>
                <w:rFonts w:hint="eastAsia" w:ascii="宋体" w:hAnsi="宋体" w:cs="等线"/>
                <w:sz w:val="24"/>
                <w:szCs w:val="24"/>
              </w:rPr>
              <w:t xml:space="preserve">．软件对接接口说明：</w:t>
            </w:r>
            <w:r/>
          </w:p>
          <w:p>
            <w:pPr>
              <w:rPr>
                <w:rFonts w:hint="eastAsia" w:ascii="宋体" w:hAnsi="宋体" w:cs="等线"/>
                <w:sz w:val="24"/>
                <w:szCs w:val="24"/>
              </w:rPr>
            </w:pPr>
            <w:r>
              <w:rPr>
                <w:rFonts w:hint="eastAsia" w:ascii="宋体" w:hAnsi="宋体" w:cs="等线"/>
                <w:sz w:val="24"/>
                <w:szCs w:val="24"/>
              </w:rPr>
              <w:t xml:space="preserve">1.中标后，根据业务警种需求要求配合南京市公安局江宁分局和目前平台厂家（视图库、智慧警务平台、视频人像大数据平台，均由江苏东大金智信息系统有限公司负责开发及运维，软件资产属于南京市公安局江宁分局，江宁分局负责协调沟通工作。）进行对接；</w:t>
            </w:r>
            <w:r/>
          </w:p>
          <w:p>
            <w:pPr>
              <w:rPr>
                <w:rFonts w:hint="eastAsia" w:ascii="宋体" w:hAnsi="宋体"/>
                <w:sz w:val="24"/>
                <w:szCs w:val="24"/>
              </w:rPr>
            </w:pPr>
            <w:r>
              <w:rPr>
                <w:rFonts w:hint="eastAsia" w:ascii="宋体" w:hAnsi="宋体" w:cs="等线"/>
                <w:sz w:val="24"/>
                <w:szCs w:val="24"/>
              </w:rPr>
              <w:t xml:space="preserve">2</w:t>
            </w:r>
            <w:r>
              <w:rPr>
                <w:rFonts w:hint="eastAsia" w:ascii="宋体" w:hAnsi="宋体"/>
                <w:sz w:val="24"/>
                <w:szCs w:val="24"/>
              </w:rPr>
              <w:t xml:space="preserve">.根据1400和28181接口接收现有的视图库推送数据；</w:t>
            </w:r>
            <w:r/>
          </w:p>
          <w:p>
            <w:r>
              <w:rPr>
                <w:rFonts w:hint="eastAsia" w:ascii="宋体" w:hAnsi="宋体"/>
                <w:sz w:val="24"/>
                <w:szCs w:val="24"/>
              </w:rPr>
              <w:t xml:space="preserve">3.利用本次采购多模态推理一体化集成设备的解析、建模训练，将训练结果数据推送给智慧警务平台和视频人像大数据平台实现业务应用。</w:t>
            </w:r>
            <w:bookmarkEnd w:id="199"/>
            <w:r/>
            <w:r/>
          </w:p>
        </w:tc>
      </w:tr>
    </w:tbl>
    <w:p>
      <w:r/>
      <w:r/>
    </w:p>
    <w:p>
      <w:r/>
      <w:r/>
    </w:p>
    <w:p>
      <w:r/>
      <w:r/>
    </w:p>
    <w:p>
      <w:r/>
      <w:r/>
    </w:p>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①交付时间：合同签订后20日内交货。</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（2）设备安全性要求</w:t>
      </w:r>
      <w:r/>
    </w:p>
    <w:p>
      <w:pPr>
        <w:ind w:firstLine="480"/>
        <w:spacing w:line="264" w:lineRule="auto"/>
        <w:rPr>
          <w:rFonts w:hint="eastAsia" w:ascii="宋体" w:hAnsi="宋体" w:cs="宋体"/>
          <w:sz w:val="24"/>
          <w:szCs w:val="24"/>
        </w:rPr>
      </w:pPr>
      <w:r/>
      <w:bookmarkStart w:id="200" w:name="OLE_LINK6"/>
      <w:r>
        <w:rPr>
          <w:rFonts w:hint="eastAsia" w:ascii="宋体" w:hAnsi="宋体" w:cs="宋体"/>
          <w:sz w:val="24"/>
          <w:szCs w:val="24"/>
        </w:rPr>
        <w:t xml:space="preserve">多模态推理一体化集成设备CPU需要通过安全可靠测评。</w:t>
      </w:r>
      <w:bookmarkEnd w:id="200"/>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验收标准：硬件产品名称、规格、数量及技术参数符合采购清单要求，包装完好的全新产品。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验收方法：由采购人组织验收。具体验收内容</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（4）质保及售后要求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整机质保（含换件和维修）不少于2年。质保期内</w:t>
      </w:r>
      <w:r>
        <w:rPr>
          <w:rFonts w:hint="eastAsia" w:ascii="宋体" w:hAnsi="宋体" w:cs="Courier New"/>
          <w:sz w:val="24"/>
          <w:szCs w:val="24"/>
        </w:rPr>
        <w:t xml:space="preserve">供应商提供同城4小时、异地12小时技术响应服务，2个工作日解决问题。</w:t>
      </w:r>
      <w:r>
        <w:rPr>
          <w:rFonts w:hint="eastAsia" w:ascii="宋体" w:hAnsi="宋体" w:cs="宋体"/>
          <w:sz w:val="24"/>
          <w:szCs w:val="24"/>
        </w:rPr>
        <w:t xml:space="preserve">如同一故障发生三次，或在1周内无法修复，供应商无条件换货，24小时内更换新机。</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w:t>
      </w:r>
      <w:r>
        <w:rPr>
          <w:rFonts w:hint="eastAsia" w:ascii="宋体" w:hAnsi="宋体" w:cs="宋体"/>
          <w:sz w:val="24"/>
          <w:szCs w:val="24"/>
        </w:rPr>
        <w:t xml:space="preserve">合同签订后20日内交货。</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投标时提供证明材料的，供应商应按要求在投标文件中提供相应证明材料。招标文件中要求签订合同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spacing w:line="264" w:lineRule="auto"/>
        <w:rPr>
          <w:rFonts w:hint="eastAsia" w:ascii="宋体" w:hAnsi="宋体" w:cs="宋体"/>
          <w:color w:val="0000ff"/>
          <w:sz w:val="24"/>
          <w:szCs w:val="24"/>
        </w:rPr>
      </w:pPr>
      <w:r>
        <w:rPr>
          <w:rFonts w:hint="eastAsia" w:ascii="宋体" w:hAnsi="宋体" w:cs="宋体"/>
          <w:color w:val="0000ff"/>
          <w:sz w:val="24"/>
          <w:szCs w:val="24"/>
        </w:rPr>
      </w:r>
      <w:r/>
    </w:p>
    <w:p>
      <w:r/>
      <w:r/>
    </w:p>
    <w:p>
      <w:pPr>
        <w:ind w:firstLine="480"/>
        <w:rPr>
          <w:rFonts w:hint="eastAsia" w:ascii="宋体" w:hAnsi="宋体" w:cs="宋体"/>
          <w:sz w:val="24"/>
          <w:szCs w:val="24"/>
        </w:rPr>
      </w:pPr>
      <w:r>
        <w:rPr>
          <w:rFonts w:hint="eastAsia" w:ascii="宋体" w:hAnsi="宋体" w:cs="宋体"/>
          <w:sz w:val="24"/>
          <w:szCs w:val="24"/>
        </w:rPr>
      </w:r>
      <w:r/>
    </w:p>
    <w:p>
      <w:pPr>
        <w:jc w:val="center"/>
        <w:rPr>
          <w:rFonts w:hint="eastAsia" w:ascii="方正小标宋简体" w:hAnsi="方正小标宋简体" w:eastAsia="方正小标宋简体" w:cs="方正小标宋简体"/>
          <w:color w:val="000000"/>
          <w:sz w:val="36"/>
          <w:szCs w:val="36"/>
        </w:rPr>
      </w:pPr>
      <w:r/>
      <w:bookmarkStart w:id="201"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推荐3名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cs="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cs="宋体"/>
          <w:sz w:val="24"/>
          <w:szCs w:val="24"/>
          <w:lang w:val="zh-CN"/>
        </w:rPr>
        <w:t xml:space="preserve">1</w:t>
      </w:r>
      <w:r>
        <w:rPr>
          <w:rFonts w:hint="eastAsia" w:ascii="宋体" w:hAnsi="宋体" w:cs="宋体"/>
          <w:sz w:val="24"/>
          <w:szCs w:val="24"/>
        </w:rPr>
        <w:t xml:space="preserve">5</w:t>
      </w:r>
      <w:r>
        <w:rPr>
          <w:rFonts w:hint="eastAsia" w:ascii="宋体" w:hAnsi="宋体" w:cs="宋体"/>
          <w:sz w:val="24"/>
          <w:szCs w:val="24"/>
          <w:lang w:val="zh-CN"/>
        </w:rPr>
        <w:t xml:space="preserve">%的扣</w:t>
      </w:r>
      <w:r>
        <w:rPr>
          <w:rFonts w:hint="eastAsia" w:ascii="宋体" w:hAnsi="宋体" w:cs="宋体"/>
          <w:sz w:val="24"/>
          <w:szCs w:val="24"/>
        </w:rPr>
        <w:t xml:space="preserve">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3.上述价格扣除政策仅适用于“非专门面向中小企业采购项目”。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42"/>
        <w:tblW w:w="9600"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960"/>
        <w:gridCol w:w="1298"/>
        <w:gridCol w:w="5422"/>
        <w:gridCol w:w="960"/>
        <w:gridCol w:w="960"/>
      </w:tblGrid>
      <w:tr>
        <w:trPr>
          <w:trHeight w:val="288"/>
        </w:trPr>
        <w:tc>
          <w:tcPr>
            <w:tcW w:w="960" w:type="dxa"/>
            <w:vAlign w:val="center"/>
            <w:textDirection w:val="lrTb"/>
            <w:noWrap/>
          </w:tcPr>
          <w:p>
            <w:pPr>
              <w:jc w:val="center"/>
              <w:widowControl/>
              <w:rPr>
                <w:rFonts w:hint="eastAsia" w:ascii="宋体" w:hAnsi="宋体" w:cs="宋体"/>
                <w:b/>
                <w:bCs/>
                <w:color w:val="000000"/>
                <w:sz w:val="20"/>
                <w:szCs w:val="20"/>
              </w:rPr>
            </w:pPr>
            <w:r/>
            <w:bookmarkStart w:id="202" w:name="OLE_LINK4"/>
            <w:r>
              <w:rPr>
                <w:rFonts w:hint="eastAsia" w:ascii="宋体" w:hAnsi="宋体" w:cs="宋体"/>
                <w:b/>
                <w:bCs/>
                <w:color w:val="000000"/>
                <w:sz w:val="20"/>
                <w:szCs w:val="20"/>
              </w:rPr>
              <w:t xml:space="preserve">序号</w:t>
            </w:r>
            <w:r/>
          </w:p>
        </w:tc>
        <w:tc>
          <w:tcPr>
            <w:tcW w:w="1298"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评审因素</w:t>
            </w:r>
            <w:r/>
          </w:p>
        </w:tc>
        <w:tc>
          <w:tcPr>
            <w:tcW w:w="542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评审细则</w:t>
            </w:r>
            <w:r/>
          </w:p>
        </w:tc>
        <w:tc>
          <w:tcPr>
            <w:tcW w:w="96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分值</w:t>
            </w:r>
            <w:r/>
          </w:p>
        </w:tc>
        <w:tc>
          <w:tcPr>
            <w:tcW w:w="960" w:type="dxa"/>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类型</w:t>
            </w:r>
            <w:r/>
          </w:p>
        </w:tc>
      </w:tr>
      <w:tr>
        <w:trPr>
          <w:trHeight w:val="288"/>
        </w:trPr>
        <w:tc>
          <w:tcPr>
            <w:gridSpan w:val="5"/>
            <w:tcW w:w="960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1.价格</w:t>
            </w:r>
            <w:r/>
          </w:p>
        </w:tc>
      </w:tr>
      <w:tr>
        <w:trPr>
          <w:trHeight w:val="1212"/>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价格</w:t>
            </w:r>
            <w:r/>
          </w:p>
        </w:tc>
        <w:tc>
          <w:tcPr>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价格分</w:t>
            </w:r>
            <w:r/>
          </w:p>
        </w:tc>
      </w:tr>
      <w:tr>
        <w:trPr>
          <w:trHeight w:val="288"/>
        </w:trPr>
        <w:tc>
          <w:tcPr>
            <w:gridSpan w:val="5"/>
            <w:tcW w:w="960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2.技术</w:t>
            </w:r>
            <w:r/>
          </w:p>
        </w:tc>
      </w:tr>
      <w:tr>
        <w:trPr>
          <w:trHeight w:val="972"/>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spacing w:val="-2"/>
                <w:szCs w:val="21"/>
              </w:rPr>
              <w:t xml:space="preserve">产品技术参数</w:t>
            </w:r>
            <w:r/>
          </w:p>
        </w:tc>
        <w:tc>
          <w:tcPr>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产品技术参数全部满足招标要求的得满分22分；打★指标为必须满足项，如有负偏离将作为无效投标，打▲指标为重要指标，有一项负偏离扣2分，其余指标有1项负偏离扣1分，扣完为止。</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客观分</w:t>
            </w:r>
            <w:r/>
          </w:p>
        </w:tc>
      </w:tr>
      <w:tr>
        <w:trPr>
          <w:trHeight w:val="3788"/>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需求理解</w:t>
            </w:r>
            <w:r/>
          </w:p>
        </w:tc>
        <w:tc>
          <w:tcPr>
            <w:tcW w:w="5422" w:type="dxa"/>
            <w:vAlign w:val="center"/>
            <w:textDirection w:val="lrTb"/>
            <w:noWrap w:val="false"/>
          </w:tcPr>
          <w:p>
            <w:pPr>
              <w:jc w:val="left"/>
              <w:widowControl/>
              <w:rPr>
                <w:rFonts w:eastAsiaTheme="minorEastAsia"/>
              </w:rPr>
            </w:pPr>
            <w:r>
              <w:rPr>
                <w:rFonts w:hint="eastAsia" w:ascii="宋体" w:hAnsi="宋体" w:cs="宋体"/>
                <w:color w:val="000000"/>
                <w:sz w:val="20"/>
                <w:szCs w:val="20"/>
              </w:rPr>
              <w:t xml:space="preserve">评委根据投标人提供的本项目需求理解进行评分，包含（每项内容逐条阐述）：1.本项目数据流向、2.模型推理流程、3.推理模型成果输出验证方案</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（1）上述每项内容全面、针对性强、可操作性强的，该项得2分；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（2）上述每项内容较全面、针对性较强、可操作性较强的，该项得1分；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（3）上述每项内容较全面、针对性较弱、可操作性不强的，该项得0.5分；</w:t>
            </w:r>
            <w:r/>
          </w:p>
          <w:p>
            <w:pPr>
              <w:jc w:val="left"/>
              <w:rPr>
                <w:rFonts w:eastAsiaTheme="minorEastAsia"/>
              </w:rPr>
            </w:pPr>
            <w:r>
              <w:rPr>
                <w:rFonts w:hint="eastAsia" w:ascii="宋体" w:hAnsi="宋体" w:cs="宋体"/>
                <w:color w:val="000000"/>
                <w:sz w:val="20"/>
                <w:szCs w:val="20"/>
              </w:rPr>
              <w:t xml:space="preserve">（4）上述每项内容不可行或未提供方案的不得分。</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主观</w:t>
            </w:r>
            <w:r>
              <w:rPr>
                <w:color w:val="000000"/>
                <w:szCs w:val="21"/>
              </w:rPr>
              <w:t xml:space="preserve"> </w:t>
            </w:r>
            <w:r>
              <w:rPr>
                <w:rFonts w:hint="eastAsia" w:ascii="宋体" w:hAnsi="宋体" w:cs="宋体"/>
                <w:color w:val="000000"/>
                <w:sz w:val="20"/>
                <w:szCs w:val="20"/>
              </w:rPr>
              <w:t xml:space="preserve">分</w:t>
            </w:r>
            <w:r/>
          </w:p>
        </w:tc>
      </w:tr>
      <w:tr>
        <w:trPr>
          <w:trHeight w:val="3126"/>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部署方案</w:t>
            </w:r>
            <w:r/>
          </w:p>
        </w:tc>
        <w:tc>
          <w:tcPr>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评委根据投标人提供的本项目部署方案评分，包含（每项内容逐条阐述）：1.供货进度保证措施、2.质量保证措施、3.安装调试计划、4.进度安排控制、5.接口对接方案和测试计划。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（1）上述每项内容全面、针对性强、可操作性强的，该项得1.2分；</w:t>
            </w:r>
            <w:r/>
          </w:p>
          <w:p>
            <w:pPr>
              <w:numPr>
                <w:ilvl w:val="0"/>
                <w:numId w:val="7"/>
              </w:numPr>
              <w:jc w:val="left"/>
              <w:widowControl/>
              <w:rPr>
                <w:rFonts w:hint="eastAsia" w:ascii="宋体" w:hAnsi="宋体" w:cs="宋体"/>
                <w:color w:val="000000"/>
                <w:sz w:val="20"/>
                <w:szCs w:val="20"/>
              </w:rPr>
            </w:pPr>
            <w:r>
              <w:rPr>
                <w:rFonts w:hint="eastAsia" w:ascii="宋体" w:hAnsi="宋体" w:cs="宋体"/>
                <w:color w:val="000000"/>
                <w:sz w:val="20"/>
                <w:szCs w:val="20"/>
              </w:rPr>
              <w:t xml:space="preserve">上述每项内容较全面、针对性较强、可操作性较强的，该项得0.8分；</w:t>
            </w:r>
            <w:r/>
          </w:p>
          <w:p>
            <w:pPr>
              <w:numPr>
                <w:ilvl w:val="0"/>
                <w:numId w:val="7"/>
              </w:numPr>
              <w:jc w:val="left"/>
              <w:widowControl/>
              <w:rPr>
                <w:rFonts w:hint="eastAsia" w:ascii="宋体" w:hAnsi="宋体" w:cs="宋体"/>
                <w:color w:val="000000"/>
                <w:sz w:val="20"/>
                <w:szCs w:val="20"/>
              </w:rPr>
            </w:pPr>
            <w:r>
              <w:rPr>
                <w:rFonts w:hint="eastAsia" w:ascii="宋体" w:hAnsi="宋体" w:cs="宋体"/>
                <w:color w:val="000000"/>
                <w:sz w:val="20"/>
                <w:szCs w:val="20"/>
              </w:rPr>
              <w:t xml:space="preserve">上述每项内容较全面、针对性较弱、可操作性不强的，该项得0.4分</w:t>
            </w:r>
            <w:r/>
          </w:p>
          <w:p>
            <w:pPr>
              <w:jc w:val="left"/>
              <w:rPr>
                <w:rFonts w:hint="eastAsia" w:ascii="宋体" w:hAnsi="宋体" w:cs="宋体"/>
                <w:color w:val="000000"/>
                <w:sz w:val="20"/>
                <w:szCs w:val="20"/>
              </w:rPr>
            </w:pPr>
            <w:r>
              <w:rPr>
                <w:rFonts w:hint="eastAsia" w:ascii="宋体" w:hAnsi="宋体" w:cs="宋体"/>
                <w:color w:val="000000"/>
                <w:sz w:val="20"/>
                <w:szCs w:val="20"/>
              </w:rPr>
              <w:t xml:space="preserve">（4）上述每项内容不可行或未提供方案的不得分。</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主观分</w:t>
            </w:r>
            <w:r/>
          </w:p>
        </w:tc>
      </w:tr>
      <w:tr>
        <w:trPr>
          <w:trHeight w:val="2377"/>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W w:w="1298"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应急响应方案</w:t>
            </w:r>
            <w:r/>
          </w:p>
        </w:tc>
        <w:tc>
          <w:tcPr>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评委根据投标人提供的本项目应急响应方案评分，包含（每项内容逐条阐述）：</w:t>
            </w:r>
            <w:r>
              <w:rPr>
                <w:rFonts w:hint="eastAsia" w:ascii="宋体" w:hAnsi="宋体" w:cs="宋体"/>
                <w:color w:val="000000"/>
              </w:rPr>
              <w:t xml:space="preserve">1.应急响应准备；2.应急响应组织方案；3.应急抢修的备品、备件配置与管理。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（1）上述每项内容全面、针对性强、可操作性强的，该项得2分；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（2）上述每项内容较全面、针对性较强、可操作性较强的，该项得1分；</w:t>
            </w:r>
            <w:r/>
          </w:p>
          <w:p>
            <w:pPr>
              <w:pStyle w:val="774"/>
              <w:ind w:left="0"/>
              <w:rPr>
                <w:rFonts w:eastAsiaTheme="minorEastAsia"/>
                <w:lang w:val="en-US"/>
              </w:rPr>
            </w:pPr>
            <w:r>
              <w:rPr>
                <w:rFonts w:hint="eastAsia" w:eastAsiaTheme="minorEastAsia"/>
                <w:lang w:val="en-US"/>
              </w:rPr>
              <w:t xml:space="preserve">（3）</w:t>
            </w:r>
            <w:r>
              <w:rPr>
                <w:rFonts w:hint="eastAsia" w:ascii="宋体" w:hAnsi="宋体"/>
                <w:color w:val="000000"/>
                <w:szCs w:val="20"/>
              </w:rPr>
              <w:t xml:space="preserve">上述每项内容较全面、针对性</w:t>
            </w:r>
            <w:r>
              <w:rPr>
                <w:rFonts w:hint="eastAsia" w:ascii="宋体" w:hAnsi="宋体"/>
                <w:color w:val="000000"/>
                <w:szCs w:val="20"/>
                <w:lang w:val="en-US"/>
              </w:rPr>
              <w:t xml:space="preserve">较弱</w:t>
            </w:r>
            <w:r>
              <w:rPr>
                <w:rFonts w:hint="eastAsia" w:ascii="宋体" w:hAnsi="宋体"/>
                <w:color w:val="000000"/>
                <w:szCs w:val="20"/>
              </w:rPr>
              <w:t xml:space="preserve">、可操作性不强的，</w:t>
            </w:r>
            <w:r>
              <w:rPr>
                <w:rFonts w:hint="eastAsia" w:ascii="宋体" w:hAnsi="宋体"/>
                <w:color w:val="000000"/>
                <w:szCs w:val="20"/>
                <w:lang w:val="en-US"/>
              </w:rPr>
              <w:t xml:space="preserve">该项得0.</w:t>
            </w:r>
            <w:r>
              <w:rPr>
                <w:rFonts w:hint="eastAsia" w:ascii="宋体" w:hAnsi="宋体"/>
                <w:color w:val="000000"/>
                <w:szCs w:val="20"/>
              </w:rPr>
              <w:t xml:space="preserve">5</w:t>
            </w:r>
            <w:r>
              <w:rPr>
                <w:rFonts w:hint="eastAsia" w:ascii="宋体" w:hAnsi="宋体"/>
                <w:color w:val="000000"/>
                <w:szCs w:val="20"/>
                <w:lang w:val="en-US"/>
              </w:rPr>
              <w:t xml:space="preserve">分</w:t>
            </w:r>
            <w:r>
              <w:rPr>
                <w:rFonts w:hint="eastAsia" w:ascii="宋体" w:hAnsi="宋体"/>
                <w:color w:val="000000"/>
                <w:szCs w:val="20"/>
              </w:rPr>
              <w:t xml:space="preserve">；</w:t>
            </w:r>
            <w:r/>
          </w:p>
          <w:p>
            <w:pPr>
              <w:pStyle w:val="774"/>
              <w:ind w:left="0"/>
              <w:rPr>
                <w:rFonts w:ascii="宋体" w:hAnsi="宋体"/>
                <w:color w:val="000000"/>
                <w:szCs w:val="20"/>
              </w:rPr>
            </w:pPr>
            <w:r>
              <w:rPr>
                <w:rFonts w:hint="eastAsia" w:eastAsiaTheme="minorEastAsia"/>
                <w:lang w:val="en-US"/>
              </w:rPr>
              <w:t xml:space="preserve">（4）</w:t>
            </w:r>
            <w:r>
              <w:rPr>
                <w:rFonts w:hint="eastAsia" w:ascii="宋体" w:hAnsi="宋体" w:eastAsia="宋体"/>
                <w:color w:val="000000"/>
                <w:szCs w:val="20"/>
              </w:rPr>
              <w:t xml:space="preserve">上述每项内容不可行或未提供方案的不得分。</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主观分</w:t>
            </w:r>
            <w:r/>
          </w:p>
        </w:tc>
      </w:tr>
      <w:tr>
        <w:trPr>
          <w:trHeight w:val="3138"/>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信息安全保障方案</w:t>
            </w:r>
            <w:r/>
          </w:p>
        </w:tc>
        <w:tc>
          <w:tcPr>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评委根据投标人提供的本项目信息安全保障方案评分，包含（每项内容逐条阐述）：</w:t>
            </w:r>
            <w:r>
              <w:rPr>
                <w:rFonts w:hint="eastAsia" w:ascii="宋体" w:hAnsi="宋体" w:cs="宋体"/>
                <w:color w:val="000000"/>
              </w:rPr>
              <w:t xml:space="preserve">1.</w:t>
            </w:r>
            <w:r>
              <w:rPr>
                <w:rFonts w:hint="eastAsia" w:ascii="宋体" w:hAnsi="宋体" w:cs="宋体"/>
                <w:color w:val="000000"/>
                <w:sz w:val="20"/>
                <w:szCs w:val="20"/>
              </w:rPr>
              <w:t xml:space="preserve">系统运行中的公安数据信息安全保障方案</w:t>
            </w:r>
            <w:r>
              <w:rPr>
                <w:rFonts w:hint="eastAsia" w:ascii="宋体" w:hAnsi="宋体" w:cs="宋体"/>
                <w:color w:val="000000"/>
              </w:rPr>
              <w:t xml:space="preserve">；2.</w:t>
            </w:r>
            <w:r>
              <w:rPr>
                <w:rFonts w:hint="eastAsia" w:ascii="宋体" w:hAnsi="宋体" w:cs="宋体"/>
                <w:color w:val="000000"/>
                <w:sz w:val="20"/>
                <w:szCs w:val="20"/>
              </w:rPr>
              <w:t xml:space="preserve">信息系统边界交换数据安全保障方案</w:t>
            </w:r>
            <w:r>
              <w:rPr>
                <w:rFonts w:hint="eastAsia" w:ascii="宋体" w:hAnsi="宋体" w:cs="宋体"/>
                <w:color w:val="000000"/>
              </w:rPr>
              <w:t xml:space="preserve">；3.接口对接过程中</w:t>
            </w:r>
            <w:r>
              <w:rPr>
                <w:rFonts w:hint="eastAsia" w:ascii="宋体" w:hAnsi="宋体" w:cs="宋体"/>
                <w:color w:val="000000"/>
                <w:sz w:val="20"/>
                <w:szCs w:val="20"/>
              </w:rPr>
              <w:t xml:space="preserve">的警务数据安全保障方案</w:t>
            </w:r>
            <w:r>
              <w:rPr>
                <w:rFonts w:hint="eastAsia" w:ascii="宋体" w:hAnsi="宋体" w:cs="宋体"/>
                <w:color w:val="000000"/>
              </w:rPr>
              <w:t xml:space="preserve">。</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（1）上述每项内容全面、针对性强、可操作性强的，该项得2分；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（2）上述每项内容较全面、针对性较强、可操作性较强的，该项得1分；</w:t>
            </w:r>
            <w:r/>
          </w:p>
          <w:p>
            <w:pPr>
              <w:pStyle w:val="774"/>
              <w:ind w:left="0"/>
              <w:rPr>
                <w:rFonts w:eastAsiaTheme="minorEastAsia"/>
                <w:lang w:val="en-US"/>
              </w:rPr>
            </w:pPr>
            <w:r>
              <w:rPr>
                <w:rFonts w:hint="eastAsia" w:eastAsiaTheme="minorEastAsia"/>
                <w:lang w:val="en-US"/>
              </w:rPr>
              <w:t xml:space="preserve">（3）</w:t>
            </w:r>
            <w:r>
              <w:rPr>
                <w:rFonts w:hint="eastAsia" w:ascii="宋体" w:hAnsi="宋体"/>
                <w:color w:val="000000"/>
                <w:szCs w:val="20"/>
              </w:rPr>
              <w:t xml:space="preserve">上述每项内容较全面、针对性</w:t>
            </w:r>
            <w:r>
              <w:rPr>
                <w:rFonts w:hint="eastAsia" w:ascii="宋体" w:hAnsi="宋体"/>
                <w:color w:val="000000"/>
                <w:szCs w:val="20"/>
                <w:lang w:val="en-US"/>
              </w:rPr>
              <w:t xml:space="preserve">较弱</w:t>
            </w:r>
            <w:r>
              <w:rPr>
                <w:rFonts w:hint="eastAsia" w:ascii="宋体" w:hAnsi="宋体"/>
                <w:color w:val="000000"/>
                <w:szCs w:val="20"/>
              </w:rPr>
              <w:t xml:space="preserve">、可操作性不强的，</w:t>
            </w:r>
            <w:r>
              <w:rPr>
                <w:rFonts w:hint="eastAsia" w:ascii="宋体" w:hAnsi="宋体"/>
                <w:color w:val="000000"/>
                <w:szCs w:val="20"/>
                <w:lang w:val="en-US"/>
              </w:rPr>
              <w:t xml:space="preserve">该项得0.</w:t>
            </w:r>
            <w:r>
              <w:rPr>
                <w:rFonts w:hint="eastAsia" w:ascii="宋体" w:hAnsi="宋体"/>
                <w:color w:val="000000"/>
                <w:szCs w:val="20"/>
              </w:rPr>
              <w:t xml:space="preserve">5</w:t>
            </w:r>
            <w:r>
              <w:rPr>
                <w:rFonts w:hint="eastAsia" w:ascii="宋体" w:hAnsi="宋体"/>
                <w:color w:val="000000"/>
                <w:szCs w:val="20"/>
                <w:lang w:val="en-US"/>
              </w:rPr>
              <w:t xml:space="preserve">分</w:t>
            </w:r>
            <w:r>
              <w:rPr>
                <w:rFonts w:hint="eastAsia" w:ascii="宋体" w:hAnsi="宋体"/>
                <w:color w:val="000000"/>
                <w:szCs w:val="20"/>
              </w:rPr>
              <w:t xml:space="preserve">；</w:t>
            </w:r>
            <w:r/>
          </w:p>
          <w:p>
            <w:pPr>
              <w:jc w:val="left"/>
              <w:widowControl/>
              <w:rPr>
                <w:rFonts w:hint="eastAsia" w:ascii="宋体" w:hAnsi="宋体" w:cs="宋体"/>
                <w:color w:val="000000"/>
                <w:sz w:val="20"/>
                <w:szCs w:val="20"/>
              </w:rPr>
            </w:pPr>
            <w:r>
              <w:rPr>
                <w:rFonts w:hint="eastAsia" w:eastAsiaTheme="minorEastAsia"/>
              </w:rPr>
              <w:t xml:space="preserve">（4）</w:t>
            </w:r>
            <w:r>
              <w:rPr>
                <w:rFonts w:hint="eastAsia" w:ascii="宋体" w:hAnsi="宋体" w:cs="宋体"/>
                <w:color w:val="000000"/>
                <w:sz w:val="20"/>
                <w:szCs w:val="20"/>
              </w:rPr>
              <w:t xml:space="preserve">上述每项内容不可行或未提供方案的不得分。</w:t>
            </w:r>
            <w:r/>
          </w:p>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主观分</w:t>
            </w:r>
            <w:r/>
          </w:p>
        </w:tc>
      </w:tr>
      <w:tr>
        <w:trPr>
          <w:trHeight w:val="288"/>
        </w:trPr>
        <w:tc>
          <w:tcPr>
            <w:gridSpan w:val="5"/>
            <w:tcW w:w="960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3.业绩</w:t>
            </w:r>
            <w:r/>
          </w:p>
        </w:tc>
      </w:tr>
      <w:tr>
        <w:trPr>
          <w:trHeight w:val="960"/>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类似业绩</w:t>
            </w:r>
            <w:r/>
          </w:p>
        </w:tc>
        <w:tc>
          <w:tcPr>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投标人提供自2022年1月1日以来（时间以合同签订时间为准）承担过类似项目案例（标的须至少包含以下其中一项内容：1解析类硬件设备；2算法类或社会治理类的数据对接）， 每提供一个得3分，最高得9分。（提供项目合同，所提供合同必须反映相关内容）。</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客观分</w:t>
            </w:r>
            <w:r/>
          </w:p>
        </w:tc>
      </w:tr>
      <w:tr>
        <w:trPr>
          <w:trHeight w:val="288"/>
        </w:trPr>
        <w:tc>
          <w:tcPr>
            <w:gridSpan w:val="5"/>
            <w:tcW w:w="960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4.履约能力</w:t>
            </w:r>
            <w:r/>
          </w:p>
        </w:tc>
      </w:tr>
      <w:tr>
        <w:trPr>
          <w:trHeight w:val="1692"/>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4.1</w:t>
            </w:r>
            <w:r/>
          </w:p>
        </w:tc>
        <w:tc>
          <w:tcPr>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履约能力1</w:t>
            </w:r>
            <w:r/>
          </w:p>
        </w:tc>
        <w:tc>
          <w:tcPr>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投标人拟派的项目经理具有高级及以上专业技术职称证书(电子信息类专业)、信息系统项目管理师证书、信息安全工程师证书、ITSS服务工程师证书；每提供1个证书得1分，最多得4分。备注：投标人须上传相关人员的相应证书原件扫描件及2025年1月1日以来任意1个月投标人为其缴纳社保的证明材料。</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客观分</w:t>
            </w:r>
            <w:r/>
          </w:p>
        </w:tc>
      </w:tr>
      <w:tr>
        <w:trPr>
          <w:trHeight w:val="1680"/>
        </w:trPr>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4.2</w:t>
            </w:r>
            <w:r/>
          </w:p>
        </w:tc>
        <w:tc>
          <w:tcPr>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履约能力2</w:t>
            </w:r>
            <w:r/>
          </w:p>
        </w:tc>
        <w:tc>
          <w:tcPr>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投标人拟派的技术负责人（项目经理除外）具有信息系统项目管理师证书、注册信息安全管理人员（CISP-CISO）证书、系统架构设计师证书；每提供1个证书得1分，最多得3分。备注：投标人须上传相关人员的相应证书原件扫描件及2025年1月1日以来任意1个月投标人为其缴纳社保的证明材料。</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客观分</w:t>
            </w:r>
            <w:r/>
          </w:p>
        </w:tc>
      </w:tr>
      <w:tr>
        <w:trPr>
          <w:trHeight w:val="2658"/>
        </w:trPr>
        <w:tc>
          <w:tcPr>
            <w:shd w:val="clear" w:color="000000" w:fill="ffffff"/>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4.3</w:t>
            </w:r>
            <w:r/>
          </w:p>
        </w:tc>
        <w:tc>
          <w:tcPr>
            <w:shd w:val="clear" w:color="000000" w:fill="ffffff"/>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履约能力3</w:t>
            </w:r>
            <w:r/>
          </w:p>
        </w:tc>
        <w:tc>
          <w:tcPr>
            <w:shd w:val="clear" w:color="000000" w:fill="ffffff"/>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投标人拟派的服务团队成员（除项目经理、技术负责人以外）具有系统架构设计师证书得1分、具有系统分析师证书得1分、具有HCIP证书（云计算方向）得1分、具有ITSS服务项目经理证书得1分、具有CISAW 信息安全保障人员证书得1分、具有注册信息安全专业人员证书(注册信息安全工程师 CISP-CISE)得1分。</w:t>
            </w:r>
            <w:r/>
          </w:p>
          <w:p>
            <w:pPr>
              <w:jc w:val="left"/>
              <w:widowControl/>
            </w:pPr>
            <w:r>
              <w:rPr>
                <w:rFonts w:hint="eastAsia" w:ascii="宋体" w:hAnsi="宋体" w:cs="宋体"/>
                <w:color w:val="000000"/>
                <w:sz w:val="20"/>
                <w:szCs w:val="20"/>
              </w:rPr>
              <w:t xml:space="preserve">备注：一类证书只记一次分，一人多证不重复得分，投标人须上传相关人员的相应证书原件扫描件及2025年1月1日以来任意1个月投标人为其缴纳社保的证明材料。</w:t>
            </w:r>
            <w:r/>
          </w:p>
        </w:tc>
        <w:tc>
          <w:tcPr>
            <w:shd w:val="clear" w:color="000000" w:fill="ffffff"/>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shd w:val="clear" w:color="000000" w:fill="ffffff"/>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客观</w:t>
            </w:r>
            <w:r>
              <w:rPr>
                <w:rFonts w:hint="eastAsia" w:ascii="宋体" w:hAnsi="宋体" w:cs="宋体"/>
                <w:color w:val="000000"/>
                <w:sz w:val="20"/>
                <w:szCs w:val="20"/>
              </w:rPr>
              <w:t xml:space="preserve">分</w:t>
            </w:r>
            <w:r/>
          </w:p>
        </w:tc>
      </w:tr>
      <w:tr>
        <w:trPr>
          <w:trHeight w:val="276"/>
        </w:trPr>
        <w:tc>
          <w:tcPr>
            <w:gridSpan w:val="5"/>
            <w:tcW w:w="960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4.节能环保</w:t>
            </w:r>
            <w:r/>
          </w:p>
        </w:tc>
      </w:tr>
      <w:tr>
        <w:trPr>
          <w:trHeight w:val="1200"/>
        </w:trPr>
        <w:tc>
          <w:tcPr>
            <w:shd w:val="clear" w:color="000000" w:fill="ffffff"/>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4.1</w:t>
            </w:r>
            <w:r/>
          </w:p>
        </w:tc>
        <w:tc>
          <w:tcPr>
            <w:shd w:val="clear" w:color="000000" w:fill="ffffff"/>
            <w:tcW w:w="1298"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节能环保</w:t>
            </w:r>
            <w:r/>
          </w:p>
        </w:tc>
        <w:tc>
          <w:tcPr>
            <w:shd w:val="clear" w:color="000000" w:fill="ffffff"/>
            <w:tcW w:w="542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注：投标产品属于政府强制采购节能产品或已在实质性要求中要求提供节能产品认证证书的，本项不得分。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投标产品属于财政部、生态环境部公布的《环境标志产品品目清单》（财库〔2019〕18号）范围内的，投标人提供国家确定的认证机构出具的、处于有效期内的该环境标志产品认证证书的，有1个得1分，最多得1分。</w:t>
            </w:r>
            <w:r/>
          </w:p>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shd w:val="clear" w:color="000000" w:fill="ffffff"/>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shd w:val="clear" w:color="000000" w:fill="ffffff"/>
            <w:tcW w:w="960" w:type="dxa"/>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客观分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bookmarkEnd w:id="202"/>
      <w:r/>
      <w:r/>
    </w:p>
    <w:p>
      <w:pPr>
        <w:ind w:firstLine="482"/>
        <w:spacing w:line="264" w:lineRule="auto"/>
        <w:rPr>
          <w:rFonts w:hint="eastAsia" w:ascii="宋体" w:hAnsi="宋体" w:cs="宋体"/>
          <w:b/>
          <w:bCs/>
          <w:color w:val="0000ff"/>
          <w:sz w:val="24"/>
          <w:szCs w:val="24"/>
        </w:rPr>
      </w:pPr>
      <w:r>
        <w:rPr>
          <w:rFonts w:ascii="宋体" w:hAnsi="宋体" w:cs="宋体"/>
          <w:b/>
          <w:bCs/>
          <w:color w:val="0000ff"/>
          <w:sz w:val="24"/>
          <w:szCs w:val="24"/>
        </w:rPr>
        <w:tab/>
      </w:r>
      <w:r/>
    </w:p>
    <w:p>
      <w:pPr>
        <w:pStyle w:val="775"/>
        <w:ind w:firstLine="720"/>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4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43"/>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r/>
      <w:r/>
    </w:p>
    <w:p>
      <w:pPr>
        <w:pStyle w:val="775"/>
        <w:ind w:firstLine="400"/>
        <w:rPr>
          <w:rFonts w:hint="eastAsia"/>
          <w:lang w:eastAsia="zh-CN"/>
        </w:rPr>
      </w:pPr>
      <w:r>
        <w:rPr>
          <w:rFonts w:hint="eastAsia"/>
          <w:lang w:eastAsia="zh-CN"/>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43"/>
        <w:rPr>
          <w:rFonts w:hint="eastAsia"/>
        </w:rPr>
      </w:pPr>
      <w:r>
        <w:rPr>
          <w:rFonts w:hint="eastAsia"/>
        </w:rPr>
      </w:r>
      <w:r>
        <w:rPr>
          <w:rFonts w:hint="eastAsia"/>
        </w:rPr>
      </w:r>
      <w:r/>
    </w:p>
    <w:p>
      <w:pPr>
        <w:pStyle w:val="743"/>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7"/>
      <w:r/>
      <w:bookmarkEnd w:id="198"/>
      <w:r/>
      <w:bookmarkEnd w:id="201"/>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203" w:name="_Hlt26955039"/>
      <w:r/>
      <w:bookmarkEnd w:id="203"/>
      <w:r/>
      <w:bookmarkStart w:id="204" w:name="_Hlt26671244"/>
      <w:r/>
      <w:bookmarkEnd w:id="204"/>
      <w:r/>
      <w:bookmarkStart w:id="205" w:name="_Toc26554094"/>
      <w:r/>
      <w:bookmarkStart w:id="206" w:name="_Toc49090576"/>
      <w:r/>
      <w:bookmarkStart w:id="207"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3"/>
      <w:r/>
      <w:bookmarkEnd w:id="194"/>
      <w:r/>
      <w:bookmarkEnd w:id="205"/>
      <w:r/>
      <w:bookmarkEnd w:id="206"/>
      <w:r/>
      <w:bookmarkEnd w:id="207"/>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bookmarkStart w:id="208"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38"/>
        <w:rPr>
          <w:rFonts w:hint="eastAsia"/>
          <w:sz w:val="24"/>
        </w:rPr>
      </w:pPr>
      <w:r>
        <w:rPr>
          <w:rFonts w:hint="eastAsia"/>
          <w:sz w:val="24"/>
        </w:rPr>
      </w:r>
      <w:r/>
    </w:p>
    <w:p>
      <w:pPr>
        <w:pStyle w:val="1038"/>
        <w:rPr>
          <w:rFonts w:hint="eastAsia"/>
          <w:sz w:val="24"/>
        </w:rPr>
      </w:pPr>
      <w:r>
        <w:rPr>
          <w:rFonts w:hint="eastAsia"/>
          <w:sz w:val="24"/>
        </w:rPr>
      </w:r>
      <w:r/>
    </w:p>
    <w:p>
      <w:pPr>
        <w:pStyle w:val="1038"/>
        <w:rPr>
          <w:rFonts w:hint="eastAsia"/>
          <w:sz w:val="24"/>
        </w:rPr>
      </w:pPr>
      <w:r>
        <w:rPr>
          <w:rFonts w:hint="eastAsia"/>
          <w:sz w:val="24"/>
        </w:rPr>
      </w:r>
      <w:r/>
    </w:p>
    <w:p>
      <w:pPr>
        <w:pStyle w:val="1038"/>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3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99"/>
      </w:pPr>
      <w:r/>
      <w:r/>
    </w:p>
    <w:p>
      <w:pPr>
        <w:pStyle w:val="1000"/>
        <w:rPr>
          <w:rFonts w:hint="eastAsia"/>
          <w:lang w:eastAsia="zh-CN"/>
        </w:rPr>
      </w:pPr>
      <w:r>
        <w:rPr>
          <w:rFonts w:hint="eastAsia"/>
          <w:lang w:eastAsia="zh-CN"/>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二、满足特定资格要求的证明文件</w:t>
      </w:r>
      <w:r/>
    </w:p>
    <w:p>
      <w:pPr>
        <w:pStyle w:val="1009"/>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040"/>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09"/>
        <w:ind w:firstLine="480"/>
        <w:spacing w:line="420" w:lineRule="exact"/>
        <w:rPr>
          <w:sz w:val="24"/>
          <w:szCs w:val="24"/>
        </w:rPr>
      </w:pPr>
      <w:r>
        <w:rPr>
          <w:sz w:val="24"/>
          <w:szCs w:val="24"/>
        </w:rPr>
      </w:r>
      <w:r/>
    </w:p>
    <w:p>
      <w:pPr>
        <w:pStyle w:val="100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09"/>
        <w:ind w:firstLine="480"/>
        <w:spacing w:line="480" w:lineRule="exact"/>
        <w:rPr>
          <w:sz w:val="24"/>
          <w:szCs w:val="24"/>
        </w:rPr>
      </w:pPr>
      <w:r>
        <w:rPr>
          <w:rFonts w:hint="eastAsia"/>
          <w:sz w:val="24"/>
          <w:szCs w:val="24"/>
        </w:rPr>
        <w:t xml:space="preserve">本授权书自______年____月____日起生效，特此声明。</w:t>
      </w:r>
      <w:r/>
    </w:p>
    <w:p>
      <w:pPr>
        <w:pStyle w:val="1009"/>
        <w:ind w:firstLine="480"/>
        <w:spacing w:line="480" w:lineRule="exact"/>
        <w:rPr>
          <w:sz w:val="24"/>
          <w:szCs w:val="24"/>
        </w:rPr>
      </w:pPr>
      <w:r>
        <w:rPr>
          <w:rFonts w:hint="eastAsia"/>
          <w:sz w:val="24"/>
          <w:szCs w:val="24"/>
        </w:rPr>
        <w:t xml:space="preserve">被授权人身份证号码：</w:t>
      </w:r>
      <w:r/>
    </w:p>
    <w:p>
      <w:pPr>
        <w:pStyle w:val="1009"/>
        <w:ind w:firstLine="480"/>
        <w:spacing w:line="480" w:lineRule="exact"/>
        <w:rPr>
          <w:sz w:val="24"/>
          <w:szCs w:val="24"/>
          <w:u w:val="single"/>
        </w:rPr>
      </w:pPr>
      <w:r>
        <w:rPr>
          <w:rFonts w:hint="eastAsia"/>
          <w:sz w:val="24"/>
          <w:szCs w:val="24"/>
        </w:rPr>
        <w:t xml:space="preserve">被授权人联系电话：（手机）</w:t>
      </w:r>
      <w:r/>
    </w:p>
    <w:p>
      <w:pPr>
        <w:pStyle w:val="100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09"/>
        <w:ind w:firstLine="480"/>
        <w:spacing w:line="480" w:lineRule="exact"/>
        <w:rPr>
          <w:sz w:val="24"/>
          <w:szCs w:val="24"/>
          <w:u w:val="single"/>
        </w:rPr>
      </w:pPr>
      <w:r>
        <w:rPr>
          <w:rFonts w:hint="eastAsia"/>
          <w:sz w:val="24"/>
          <w:szCs w:val="24"/>
        </w:rPr>
        <w:t xml:space="preserve">单位地址：</w:t>
      </w:r>
      <w:r/>
    </w:p>
    <w:p>
      <w:pPr>
        <w:pStyle w:val="1009"/>
        <w:ind w:firstLine="480"/>
        <w:spacing w:line="480" w:lineRule="exact"/>
        <w:rPr>
          <w:sz w:val="24"/>
          <w:szCs w:val="24"/>
        </w:rPr>
      </w:pPr>
      <w:r>
        <w:rPr>
          <w:rFonts w:hint="eastAsia"/>
          <w:sz w:val="24"/>
          <w:szCs w:val="24"/>
        </w:rPr>
        <w:t xml:space="preserve">日    期：</w:t>
      </w:r>
      <w:bookmarkStart w:id="209" w:name="_Hlt26671380"/>
      <w:r/>
      <w:bookmarkEnd w:id="209"/>
      <w:r/>
      <w:bookmarkStart w:id="210" w:name="_格式3__银行出具的资信证明"/>
      <w:r/>
      <w:bookmarkEnd w:id="210"/>
      <w:r/>
      <w:bookmarkStart w:id="211" w:name="_Hlt26955070"/>
      <w:r/>
      <w:bookmarkEnd w:id="211"/>
      <w:r/>
      <w:r/>
    </w:p>
    <w:p>
      <w:pPr>
        <w:pStyle w:val="928"/>
        <w:rPr>
          <w:i/>
          <w:sz w:val="24"/>
          <w:szCs w:val="24"/>
          <w:u w:val="single"/>
          <w:lang w:eastAsia="zh-CN"/>
        </w:rPr>
      </w:pPr>
      <w:r>
        <w:rPr>
          <w:i/>
          <w:sz w:val="24"/>
          <w:szCs w:val="24"/>
          <w:u w:val="single"/>
          <w:lang w:eastAsia="zh-CN"/>
        </w:rPr>
      </w:r>
      <w:r/>
    </w:p>
    <w:p>
      <w:pPr>
        <w:pStyle w:val="928"/>
        <w:ind w:firstLine="0"/>
        <w:rPr>
          <w:lang w:eastAsia="zh-CN"/>
        </w:rPr>
      </w:pPr>
      <w:r>
        <w:rPr>
          <w:lang w:eastAsia="zh-CN"/>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38"/>
        <w:rPr>
          <w:rFonts w:hint="eastAsia"/>
          <w:bCs/>
          <w:sz w:val="24"/>
        </w:rPr>
      </w:pPr>
      <w:r>
        <w:rPr>
          <w:rFonts w:hint="eastAsia"/>
          <w:bCs/>
          <w:sz w:val="24"/>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11"/>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p>
    <w:p>
      <w:pPr>
        <w:pStyle w:val="101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11"/>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101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11"/>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11"/>
        <w:spacing w:before="0" w:after="0" w:line="420" w:lineRule="exact"/>
        <w:rPr>
          <w:rFonts w:hint="eastAsia" w:ascii="宋体" w:hAnsi="宋体"/>
          <w:szCs w:val="21"/>
        </w:rPr>
      </w:pPr>
      <w:r>
        <w:rPr>
          <w:rFonts w:hint="eastAsia" w:ascii="宋体" w:hAnsi="宋体"/>
          <w:szCs w:val="21"/>
        </w:rPr>
        <w:t xml:space="preserve">地  址：</w:t>
      </w:r>
      <w:r/>
    </w:p>
    <w:p>
      <w:pPr>
        <w:pStyle w:val="1011"/>
        <w:spacing w:before="0" w:after="0" w:line="420" w:lineRule="exact"/>
        <w:rPr>
          <w:rFonts w:hint="eastAsia" w:ascii="宋体" w:hAnsi="宋体"/>
          <w:szCs w:val="21"/>
        </w:rPr>
      </w:pPr>
      <w:r>
        <w:rPr>
          <w:rFonts w:hint="eastAsia" w:ascii="宋体" w:hAnsi="宋体"/>
          <w:szCs w:val="21"/>
        </w:rPr>
        <w:t xml:space="preserve">邮  编：</w:t>
      </w:r>
      <w:r/>
    </w:p>
    <w:p>
      <w:pPr>
        <w:pStyle w:val="1011"/>
        <w:spacing w:before="0" w:after="0" w:line="420" w:lineRule="exact"/>
        <w:rPr>
          <w:rFonts w:hint="eastAsia" w:ascii="宋体" w:hAnsi="宋体"/>
          <w:szCs w:val="21"/>
          <w:u w:val="single"/>
        </w:rPr>
      </w:pPr>
      <w:r>
        <w:rPr>
          <w:rFonts w:hint="eastAsia" w:ascii="宋体" w:hAnsi="宋体"/>
          <w:szCs w:val="21"/>
        </w:rPr>
        <w:t xml:space="preserve">电  话：</w:t>
      </w:r>
      <w:r/>
    </w:p>
    <w:p>
      <w:pPr>
        <w:pStyle w:val="1011"/>
        <w:spacing w:before="0" w:after="0" w:line="420" w:lineRule="exact"/>
        <w:rPr>
          <w:rFonts w:hint="eastAsia" w:ascii="宋体" w:hAnsi="宋体"/>
          <w:szCs w:val="21"/>
          <w:u w:val="single"/>
        </w:rPr>
      </w:pPr>
      <w:r>
        <w:rPr>
          <w:rFonts w:hint="eastAsia" w:ascii="宋体" w:hAnsi="宋体"/>
          <w:szCs w:val="21"/>
        </w:rPr>
        <w:t xml:space="preserve">传  真：</w:t>
      </w:r>
      <w:r/>
    </w:p>
    <w:p>
      <w:pPr>
        <w:pStyle w:val="1011"/>
        <w:spacing w:before="0" w:after="0" w:line="420" w:lineRule="exact"/>
        <w:rPr>
          <w:rFonts w:hint="eastAsia" w:ascii="宋体" w:hAnsi="宋体"/>
          <w:szCs w:val="21"/>
          <w:u w:val="single"/>
        </w:rPr>
      </w:pPr>
      <w:r>
        <w:rPr>
          <w:rFonts w:hint="eastAsia" w:ascii="宋体" w:hAnsi="宋体"/>
          <w:szCs w:val="21"/>
        </w:rPr>
        <w:t xml:space="preserve">开户行：</w:t>
      </w:r>
      <w:r/>
    </w:p>
    <w:p>
      <w:pPr>
        <w:pStyle w:val="1011"/>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11"/>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Style w:val="742"/>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11"/>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42"/>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Style w:val="742"/>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713"/>
        <w:gridCol w:w="907"/>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7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7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0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pStyle w:val="743"/>
        <w:rPr>
          <w:rFonts w:hint="eastAsia"/>
        </w:rPr>
      </w:pPr>
      <w:r>
        <w:rPr>
          <w:rFonts w:hint="eastAsia"/>
        </w:rPr>
      </w:r>
      <w:r/>
    </w:p>
    <w:p>
      <w:pPr>
        <w:ind w:firstLine="480"/>
        <w:rPr>
          <w:rFonts w:hint="eastAsia" w:ascii="宋体" w:hAnsi="宋体"/>
          <w:sz w:val="24"/>
          <w:szCs w:val="24"/>
        </w:rPr>
      </w:pPr>
      <w:r>
        <w:rPr>
          <w:rFonts w:hint="eastAsia" w:ascii="宋体" w:hAnsi="宋体"/>
          <w:sz w:val="24"/>
          <w:szCs w:val="24"/>
        </w:rPr>
      </w:r>
      <w:r/>
    </w:p>
    <w:p>
      <w:pPr>
        <w:pStyle w:val="766"/>
        <w:ind w:firstLine="480"/>
        <w:jc w:val="both"/>
        <w:spacing w:before="0" w:beforeAutospacing="0" w:after="0" w:afterAutospacing="0" w:line="360" w:lineRule="auto"/>
        <w:rPr>
          <w:rFonts w:hint="eastAsia"/>
          <w:color w:val="000000"/>
        </w:rPr>
      </w:pPr>
      <w:r>
        <w:rPr>
          <w:color w:val="000000"/>
        </w:rPr>
        <w:t xml:space="preserve">备注： </w:t>
      </w:r>
      <w:r/>
    </w:p>
    <w:p>
      <w:pPr>
        <w:pStyle w:val="766"/>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66"/>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66"/>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66"/>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八、技术要求响应及偏离表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pPr>
            <w:r/>
            <w:r/>
          </w:p>
          <w:p>
            <w:pPr>
              <w:pStyle w:val="775"/>
              <w:rPr>
                <w:rFonts w:hint="eastAsia"/>
                <w:sz w:val="21"/>
                <w:lang w:eastAsia="zh-CN"/>
              </w:rPr>
            </w:pPr>
            <w:r>
              <w:rPr>
                <w:rFonts w:hint="eastAsia"/>
                <w:sz w:val="21"/>
                <w:lang w:eastAsia="zh-CN"/>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87"/>
        <w:ind w:firstLine="480"/>
        <w:jc w:val="both"/>
        <w:spacing w:before="0" w:beforeAutospacing="0" w:after="0" w:afterAutospacing="0"/>
        <w:rPr>
          <w:rFonts w:hint="eastAsia"/>
          <w:color w:val="000000"/>
        </w:rPr>
      </w:pPr>
      <w:r>
        <w:rPr>
          <w:rFonts w:hint="eastAsia"/>
          <w:color w:val="000000"/>
        </w:rPr>
      </w:r>
      <w:r/>
    </w:p>
    <w:p>
      <w:pPr>
        <w:pStyle w:val="987"/>
        <w:ind w:firstLine="480"/>
        <w:jc w:val="both"/>
        <w:spacing w:before="0" w:beforeAutospacing="0" w:after="0" w:afterAutospacing="0" w:line="360" w:lineRule="auto"/>
        <w:rPr>
          <w:rFonts w:hint="eastAsia"/>
        </w:rPr>
      </w:pPr>
      <w:r>
        <w:t xml:space="preserve">备注： </w:t>
      </w:r>
      <w:r/>
    </w:p>
    <w:p>
      <w:pPr>
        <w:pStyle w:val="987"/>
        <w:ind w:firstLine="480"/>
        <w:jc w:val="both"/>
        <w:spacing w:before="0" w:beforeAutospacing="0" w:after="0" w:afterAutospacing="0" w:line="360" w:lineRule="auto"/>
        <w:rPr>
          <w:rFonts w:hint="eastAsia"/>
        </w:rPr>
      </w:pPr>
      <w:r>
        <w:rPr>
          <w:rFonts w:hint="eastAsia"/>
        </w:rPr>
        <w:t xml:space="preserve">1.供应商应当对招标文件技术要求作出明确响应。</w:t>
      </w:r>
      <w:r/>
    </w:p>
    <w:p>
      <w:pPr>
        <w:pStyle w:val="987"/>
        <w:ind w:firstLine="480"/>
        <w:jc w:val="both"/>
        <w:spacing w:before="0" w:beforeAutospacing="0" w:after="0" w:afterAutospacing="0" w:line="312" w:lineRule="auto"/>
        <w:rPr>
          <w:rFonts w:hint="eastAsia"/>
          <w:color w:val="000000"/>
        </w:rPr>
      </w:pPr>
      <w:r>
        <w:rPr>
          <w:rFonts w:hint="eastAsia"/>
          <w:color w:val="000000"/>
        </w:rPr>
        <w:t xml:space="preserve">2.采购文件技术要求中</w:t>
      </w:r>
      <w:r>
        <w:rPr>
          <w:color w:val="000000"/>
        </w:rPr>
        <w:t xml:space="preserve">要求</w:t>
      </w:r>
      <w:r>
        <w:rPr>
          <w:rFonts w:hint="eastAsia"/>
          <w:color w:val="000000"/>
        </w:rPr>
        <w:t xml:space="preserve">投标时</w:t>
      </w:r>
      <w:r>
        <w:rPr>
          <w:color w:val="000000"/>
        </w:rPr>
        <w:t xml:space="preserve">提供证明材料</w:t>
      </w:r>
      <w:r>
        <w:rPr>
          <w:rFonts w:hint="eastAsia"/>
          <w:color w:val="000000"/>
        </w:rPr>
        <w:t xml:space="preserve">的</w:t>
      </w:r>
      <w:r>
        <w:rPr>
          <w:color w:val="000000"/>
        </w:rPr>
        <w:t xml:space="preserve">，供应商</w:t>
      </w:r>
      <w:r>
        <w:rPr>
          <w:rFonts w:hint="eastAsia"/>
          <w:color w:val="000000"/>
        </w:rPr>
        <w:t xml:space="preserve">应按要求在此表下方提供。要求合同签订时提供</w:t>
      </w:r>
      <w:r>
        <w:rPr>
          <w:color w:val="000000"/>
        </w:rPr>
        <w:t xml:space="preserve">证明材料</w:t>
      </w:r>
      <w:r>
        <w:rPr>
          <w:rFonts w:hint="eastAsia"/>
          <w:color w:val="000000"/>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87"/>
        <w:ind w:firstLine="482"/>
        <w:jc w:val="both"/>
        <w:spacing w:before="0" w:beforeAutospacing="0" w:after="0" w:afterAutospacing="0" w:line="312" w:lineRule="auto"/>
        <w:rPr>
          <w:rFonts w:hint="eastAsia"/>
        </w:rPr>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p>
    <w:p>
      <w:pPr>
        <w:pStyle w:val="987"/>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r>
      <w:r/>
    </w:p>
    <w:p>
      <w:pPr>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九、商务要求响应及偏离表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pPr>
            <w:r/>
            <w:r/>
          </w:p>
          <w:p>
            <w:pPr>
              <w:pStyle w:val="775"/>
              <w:rPr>
                <w:rFonts w:hint="eastAsia"/>
                <w:sz w:val="21"/>
                <w:lang w:eastAsia="zh-CN"/>
              </w:rPr>
            </w:pPr>
            <w:r>
              <w:rPr>
                <w:rFonts w:hint="eastAsia"/>
                <w:sz w:val="21"/>
                <w:lang w:eastAsia="zh-CN"/>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987"/>
        <w:ind w:firstLine="480"/>
        <w:jc w:val="both"/>
        <w:spacing w:before="0" w:beforeAutospacing="0" w:after="0" w:afterAutospacing="0" w:line="360" w:lineRule="auto"/>
        <w:rPr>
          <w:rFonts w:hint="eastAsia"/>
        </w:rPr>
      </w:pPr>
      <w:r>
        <w:rPr>
          <w:rFonts w:hint="eastAsia"/>
        </w:rPr>
        <w:t xml:space="preserve">备注： </w:t>
      </w:r>
      <w:r/>
    </w:p>
    <w:p>
      <w:pPr>
        <w:pStyle w:val="987"/>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987"/>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74"/>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74"/>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774"/>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74"/>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38"/>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bookmarkEnd w:id="208"/>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5"/>
        <w:rFonts w:hint="eastAsia" w:ascii="宋体" w:hAnsi="宋体"/>
      </w:rPr>
      <w:framePr w:wrap="around" w:vAnchor="text" w:hAnchor="margin" w:xAlign="center" w:y="1"/>
    </w:pPr>
    <w:r>
      <w:rPr>
        <w:rFonts w:ascii="宋体" w:hAnsi="宋体"/>
      </w:rPr>
      <w:fldChar w:fldCharType="begin"/>
    </w:r>
    <w:r>
      <w:rPr>
        <w:rStyle w:val="995"/>
        <w:rFonts w:ascii="宋体" w:hAnsi="宋体"/>
      </w:rPr>
      <w:instrText xml:space="preserve">PAGE  </w:instrText>
    </w:r>
    <w:r>
      <w:rPr>
        <w:rFonts w:ascii="宋体" w:hAnsi="宋体"/>
      </w:rPr>
      <w:fldChar w:fldCharType="separate"/>
    </w:r>
    <w:r>
      <w:rPr>
        <w:rStyle w:val="995"/>
        <w:rFonts w:ascii="宋体" w:hAnsi="宋体"/>
      </w:rPr>
      <w:t xml:space="preserve">2</w:t>
    </w:r>
    <w:r>
      <w:rPr>
        <w:rFonts w:ascii="宋体" w:hAnsi="宋体"/>
      </w:rPr>
      <w:fldChar w:fldCharType="end"/>
    </w:r>
    <w:r/>
  </w:p>
  <w:p>
    <w:pPr>
      <w:pStyle w:val="97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p>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2"/>
      <w:isLgl w:val="false"/>
      <w:suff w:val="nothing"/>
      <w:lvlText w:val=""/>
      <w:lvlJc w:val="left"/>
      <w:pPr>
        <w:ind w:left="0" w:firstLine="0"/>
      </w:pPr>
      <w:rPr>
        <w:rFonts w:hint="eastAsia"/>
      </w:rPr>
    </w:lvl>
    <w:lvl w:ilvl="6">
      <w:start w:val="1"/>
      <w:numFmt w:val="decimal"/>
      <w:pStyle w:val="933"/>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5"/>
      <w:isLgl w:val="false"/>
      <w:suff w:val="nothing"/>
      <w:lvlText w:val=""/>
      <w:lvlJc w:val="left"/>
      <w:pPr>
        <w:ind w:left="0" w:firstLine="0"/>
      </w:pPr>
      <w:rPr>
        <w:rFonts w:hint="eastAsia"/>
      </w:rPr>
    </w:lvl>
  </w:abstractNum>
  <w:num w:numId="1">
    <w:abstractNumId w:val="6"/>
  </w:num>
  <w:num w:numId="2">
    <w:abstractNumId w:val="1"/>
  </w:num>
  <w:num w:numId="3">
    <w:abstractNumId w:val="2"/>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41"/>
    <w:link w:val="732"/>
    <w:uiPriority w:val="9"/>
    <w:rPr>
      <w:rFonts w:ascii="Arial" w:hAnsi="Arial" w:eastAsia="Arial" w:cs="Arial"/>
      <w:sz w:val="40"/>
      <w:szCs w:val="40"/>
    </w:rPr>
  </w:style>
  <w:style w:type="character" w:styleId="695">
    <w:name w:val="Heading 2 Char"/>
    <w:basedOn w:val="741"/>
    <w:link w:val="733"/>
    <w:uiPriority w:val="9"/>
    <w:rPr>
      <w:rFonts w:ascii="Arial" w:hAnsi="Arial" w:eastAsia="Arial" w:cs="Arial"/>
      <w:sz w:val="34"/>
    </w:rPr>
  </w:style>
  <w:style w:type="character" w:styleId="696">
    <w:name w:val="Heading 3 Char"/>
    <w:basedOn w:val="741"/>
    <w:link w:val="734"/>
    <w:uiPriority w:val="9"/>
    <w:rPr>
      <w:rFonts w:ascii="Arial" w:hAnsi="Arial" w:eastAsia="Arial" w:cs="Arial"/>
      <w:sz w:val="30"/>
      <w:szCs w:val="30"/>
    </w:rPr>
  </w:style>
  <w:style w:type="character" w:styleId="697">
    <w:name w:val="Heading 4 Char"/>
    <w:basedOn w:val="741"/>
    <w:link w:val="735"/>
    <w:uiPriority w:val="9"/>
    <w:rPr>
      <w:rFonts w:ascii="Arial" w:hAnsi="Arial" w:eastAsia="Arial" w:cs="Arial"/>
      <w:b/>
      <w:bCs/>
      <w:sz w:val="26"/>
      <w:szCs w:val="26"/>
    </w:rPr>
  </w:style>
  <w:style w:type="character" w:styleId="698">
    <w:name w:val="Heading 5 Char"/>
    <w:basedOn w:val="741"/>
    <w:link w:val="736"/>
    <w:uiPriority w:val="9"/>
    <w:rPr>
      <w:rFonts w:ascii="Arial" w:hAnsi="Arial" w:eastAsia="Arial" w:cs="Arial"/>
      <w:b/>
      <w:bCs/>
      <w:sz w:val="24"/>
      <w:szCs w:val="24"/>
    </w:rPr>
  </w:style>
  <w:style w:type="character" w:styleId="699">
    <w:name w:val="Heading 6 Char"/>
    <w:basedOn w:val="741"/>
    <w:link w:val="737"/>
    <w:uiPriority w:val="9"/>
    <w:rPr>
      <w:rFonts w:ascii="Arial" w:hAnsi="Arial" w:eastAsia="Arial" w:cs="Arial"/>
      <w:b/>
      <w:bCs/>
      <w:sz w:val="22"/>
      <w:szCs w:val="22"/>
    </w:rPr>
  </w:style>
  <w:style w:type="character" w:styleId="700">
    <w:name w:val="Heading 7 Char"/>
    <w:basedOn w:val="741"/>
    <w:link w:val="738"/>
    <w:uiPriority w:val="9"/>
    <w:rPr>
      <w:rFonts w:ascii="Arial" w:hAnsi="Arial" w:eastAsia="Arial" w:cs="Arial"/>
      <w:b/>
      <w:bCs/>
      <w:i/>
      <w:iCs/>
      <w:sz w:val="22"/>
      <w:szCs w:val="22"/>
    </w:rPr>
  </w:style>
  <w:style w:type="character" w:styleId="701">
    <w:name w:val="Heading 8 Char"/>
    <w:basedOn w:val="741"/>
    <w:link w:val="739"/>
    <w:uiPriority w:val="9"/>
    <w:rPr>
      <w:rFonts w:ascii="Arial" w:hAnsi="Arial" w:eastAsia="Arial" w:cs="Arial"/>
      <w:i/>
      <w:iCs/>
      <w:sz w:val="22"/>
      <w:szCs w:val="22"/>
    </w:rPr>
  </w:style>
  <w:style w:type="character" w:styleId="702">
    <w:name w:val="Heading 9 Char"/>
    <w:basedOn w:val="741"/>
    <w:link w:val="740"/>
    <w:uiPriority w:val="9"/>
    <w:rPr>
      <w:rFonts w:ascii="Arial" w:hAnsi="Arial" w:eastAsia="Arial" w:cs="Arial"/>
      <w:i/>
      <w:iCs/>
      <w:sz w:val="21"/>
      <w:szCs w:val="21"/>
    </w:rPr>
  </w:style>
  <w:style w:type="character" w:styleId="703">
    <w:name w:val="Title Char"/>
    <w:basedOn w:val="741"/>
    <w:link w:val="767"/>
    <w:uiPriority w:val="10"/>
    <w:rPr>
      <w:sz w:val="48"/>
      <w:szCs w:val="48"/>
    </w:rPr>
  </w:style>
  <w:style w:type="character" w:styleId="704">
    <w:name w:val="Subtitle Char"/>
    <w:basedOn w:val="741"/>
    <w:link w:val="760"/>
    <w:uiPriority w:val="11"/>
    <w:rPr>
      <w:sz w:val="24"/>
      <w:szCs w:val="24"/>
    </w:rPr>
  </w:style>
  <w:style w:type="character" w:styleId="705">
    <w:name w:val="Quote Char"/>
    <w:link w:val="791"/>
    <w:uiPriority w:val="29"/>
    <w:rPr>
      <w:i/>
    </w:rPr>
  </w:style>
  <w:style w:type="character" w:styleId="706">
    <w:name w:val="Intense Quote Char"/>
    <w:link w:val="793"/>
    <w:uiPriority w:val="30"/>
    <w:rPr>
      <w:i/>
    </w:rPr>
  </w:style>
  <w:style w:type="character" w:styleId="707">
    <w:name w:val="Header Char"/>
    <w:basedOn w:val="741"/>
    <w:link w:val="757"/>
    <w:uiPriority w:val="99"/>
  </w:style>
  <w:style w:type="character" w:styleId="708">
    <w:name w:val="Caption Char"/>
    <w:basedOn w:val="748"/>
    <w:link w:val="756"/>
    <w:uiPriority w:val="99"/>
  </w:style>
  <w:style w:type="table" w:styleId="70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61"/>
    <w:uiPriority w:val="99"/>
    <w:rPr>
      <w:sz w:val="18"/>
    </w:rPr>
  </w:style>
  <w:style w:type="character" w:styleId="729">
    <w:name w:val="Endnote Text Char"/>
    <w:link w:val="754"/>
    <w:uiPriority w:val="99"/>
    <w:rPr>
      <w:sz w:val="20"/>
    </w:rPr>
  </w:style>
  <w:style w:type="paragraph" w:styleId="730">
    <w:name w:val="TOC Heading"/>
    <w:uiPriority w:val="39"/>
    <w:unhideWhenUsed/>
  </w:style>
  <w:style w:type="paragraph" w:styleId="731" w:default="1">
    <w:name w:val="Normal"/>
    <w:next w:val="743"/>
    <w:uiPriority w:val="0"/>
    <w:qFormat/>
    <w:pPr>
      <w:jc w:val="both"/>
      <w:widowControl w:val="off"/>
    </w:pPr>
    <w:rPr>
      <w:rFonts w:ascii="Times New Roman" w:hAnsi="Times New Roman" w:eastAsia="宋体" w:cs="Times New Roman"/>
      <w:sz w:val="21"/>
      <w:szCs w:val="22"/>
      <w:lang w:val="en-US" w:eastAsia="zh-CN" w:bidi="ar-SA"/>
    </w:rPr>
  </w:style>
  <w:style w:type="paragraph" w:styleId="732">
    <w:name w:val="Heading 1"/>
    <w:basedOn w:val="731"/>
    <w:next w:val="731"/>
    <w:link w:val="778"/>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9"/>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80"/>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46"/>
    <w:link w:val="781"/>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82"/>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83"/>
    <w:uiPriority w:val="9"/>
    <w:unhideWhenUsed/>
    <w:qFormat/>
    <w:pPr>
      <w:keepLines/>
      <w:keepNext/>
      <w:spacing w:before="320" w:after="200"/>
      <w:outlineLvl w:val="5"/>
    </w:pPr>
    <w:rPr>
      <w:rFonts w:ascii="Arial" w:hAnsi="Arial" w:eastAsia="Arial" w:cs="Arial"/>
      <w:b/>
      <w:bCs/>
      <w:sz w:val="22"/>
    </w:rPr>
  </w:style>
  <w:style w:type="paragraph" w:styleId="738">
    <w:name w:val="Heading 7"/>
    <w:basedOn w:val="731"/>
    <w:next w:val="731"/>
    <w:link w:val="784"/>
    <w:uiPriority w:val="9"/>
    <w:unhideWhenUsed/>
    <w:qFormat/>
    <w:pPr>
      <w:keepLines/>
      <w:keepNext/>
      <w:spacing w:before="320" w:after="200"/>
      <w:outlineLvl w:val="6"/>
    </w:pPr>
    <w:rPr>
      <w:rFonts w:ascii="Arial" w:hAnsi="Arial" w:eastAsia="Arial" w:cs="Arial"/>
      <w:b/>
      <w:bCs/>
      <w:i/>
      <w:iCs/>
      <w:sz w:val="22"/>
    </w:rPr>
  </w:style>
  <w:style w:type="paragraph" w:styleId="739">
    <w:name w:val="Heading 8"/>
    <w:basedOn w:val="731"/>
    <w:next w:val="731"/>
    <w:link w:val="785"/>
    <w:uiPriority w:val="9"/>
    <w:unhideWhenUsed/>
    <w:qFormat/>
    <w:pPr>
      <w:keepLines/>
      <w:keepNext/>
      <w:spacing w:before="320" w:after="200"/>
      <w:outlineLvl w:val="7"/>
    </w:pPr>
    <w:rPr>
      <w:rFonts w:ascii="Arial" w:hAnsi="Arial" w:eastAsia="Arial" w:cs="Arial"/>
      <w:i/>
      <w:iCs/>
      <w:sz w:val="22"/>
    </w:rPr>
  </w:style>
  <w:style w:type="paragraph" w:styleId="740">
    <w:name w:val="Heading 9"/>
    <w:basedOn w:val="731"/>
    <w:next w:val="731"/>
    <w:link w:val="786"/>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Body Text First Indent 2"/>
    <w:basedOn w:val="744"/>
    <w:next w:val="731"/>
    <w:uiPriority w:val="0"/>
    <w:qFormat/>
    <w:pPr>
      <w:ind w:left="0" w:firstLine="420"/>
      <w:spacing w:after="0" w:line="360" w:lineRule="auto"/>
    </w:pPr>
    <w:rPr>
      <w:rFonts w:ascii="宋体" w:hAnsi="宋体"/>
      <w:szCs w:val="20"/>
    </w:rPr>
  </w:style>
  <w:style w:type="paragraph" w:styleId="744">
    <w:name w:val="Body Text Indent"/>
    <w:basedOn w:val="731"/>
    <w:next w:val="745"/>
    <w:uiPriority w:val="0"/>
    <w:unhideWhenUsed/>
    <w:qFormat/>
    <w:pPr>
      <w:ind w:left="420"/>
      <w:spacing w:after="120"/>
    </w:pPr>
  </w:style>
  <w:style w:type="paragraph" w:styleId="745">
    <w:name w:val="envelope return"/>
    <w:basedOn w:val="731"/>
    <w:uiPriority w:val="0"/>
    <w:qFormat/>
    <w:rPr>
      <w:rFonts w:ascii="Arial" w:hAnsi="Arial" w:cs="宋体"/>
    </w:rPr>
  </w:style>
  <w:style w:type="paragraph" w:styleId="746">
    <w:name w:val="Normal Indent"/>
    <w:basedOn w:val="731"/>
    <w:uiPriority w:val="0"/>
    <w:qFormat/>
    <w:pPr>
      <w:ind w:firstLine="420"/>
    </w:pPr>
    <w:rPr>
      <w:sz w:val="20"/>
      <w:szCs w:val="21"/>
    </w:rPr>
  </w:style>
  <w:style w:type="paragraph" w:styleId="747">
    <w:name w:val="toc 7"/>
    <w:basedOn w:val="731"/>
    <w:next w:val="731"/>
    <w:uiPriority w:val="39"/>
    <w:unhideWhenUsed/>
    <w:qFormat/>
    <w:pPr>
      <w:ind w:left="1701"/>
      <w:spacing w:after="57"/>
    </w:pPr>
  </w:style>
  <w:style w:type="paragraph" w:styleId="748">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1"/>
    <w:link w:val="1060"/>
    <w:uiPriority w:val="99"/>
    <w:semiHidden/>
    <w:unhideWhenUsed/>
    <w:qFormat/>
    <w:pPr>
      <w:jc w:val="left"/>
    </w:pPr>
  </w:style>
  <w:style w:type="paragraph" w:styleId="750">
    <w:name w:val="toc 5"/>
    <w:basedOn w:val="731"/>
    <w:next w:val="731"/>
    <w:uiPriority w:val="39"/>
    <w:unhideWhenUsed/>
    <w:qFormat/>
    <w:pPr>
      <w:ind w:left="1134"/>
      <w:spacing w:after="57"/>
    </w:pPr>
  </w:style>
  <w:style w:type="paragraph" w:styleId="751">
    <w:name w:val="toc 3"/>
    <w:basedOn w:val="731"/>
    <w:next w:val="731"/>
    <w:uiPriority w:val="39"/>
    <w:unhideWhenUsed/>
    <w:qFormat/>
    <w:pPr>
      <w:ind w:left="567"/>
      <w:spacing w:after="57"/>
    </w:pPr>
  </w:style>
  <w:style w:type="paragraph" w:styleId="752">
    <w:name w:val="Plain Text"/>
    <w:basedOn w:val="731"/>
    <w:link w:val="1058"/>
    <w:uiPriority w:val="0"/>
    <w:qFormat/>
    <w:rPr>
      <w:rFonts w:ascii="宋体" w:hAnsi="Courier New" w:cs="Courier New"/>
      <w:szCs w:val="21"/>
    </w:rPr>
  </w:style>
  <w:style w:type="paragraph" w:styleId="753">
    <w:name w:val="toc 8"/>
    <w:basedOn w:val="731"/>
    <w:next w:val="731"/>
    <w:uiPriority w:val="39"/>
    <w:unhideWhenUsed/>
    <w:qFormat/>
    <w:pPr>
      <w:ind w:left="1984"/>
      <w:spacing w:after="57"/>
    </w:pPr>
  </w:style>
  <w:style w:type="paragraph" w:styleId="754">
    <w:name w:val="endnote text"/>
    <w:basedOn w:val="731"/>
    <w:link w:val="924"/>
    <w:uiPriority w:val="99"/>
    <w:semiHidden/>
    <w:unhideWhenUsed/>
    <w:qFormat/>
    <w:rPr>
      <w:sz w:val="20"/>
    </w:rPr>
  </w:style>
  <w:style w:type="paragraph" w:styleId="755">
    <w:name w:val="Balloon Text"/>
    <w:basedOn w:val="731"/>
    <w:link w:val="1062"/>
    <w:uiPriority w:val="99"/>
    <w:semiHidden/>
    <w:unhideWhenUsed/>
    <w:qFormat/>
    <w:rPr>
      <w:sz w:val="18"/>
      <w:szCs w:val="18"/>
    </w:rPr>
  </w:style>
  <w:style w:type="paragraph" w:styleId="756">
    <w:name w:val="Footer"/>
    <w:basedOn w:val="731"/>
    <w:link w:val="797"/>
    <w:uiPriority w:val="99"/>
    <w:unhideWhenUsed/>
    <w:qFormat/>
    <w:pPr>
      <w:tabs>
        <w:tab w:val="center" w:pos="7143" w:leader="none"/>
        <w:tab w:val="right" w:pos="14287" w:leader="none"/>
      </w:tabs>
    </w:pPr>
  </w:style>
  <w:style w:type="paragraph" w:styleId="757">
    <w:name w:val="Header"/>
    <w:basedOn w:val="731"/>
    <w:link w:val="795"/>
    <w:uiPriority w:val="99"/>
    <w:unhideWhenUsed/>
    <w:qFormat/>
    <w:pPr>
      <w:tabs>
        <w:tab w:val="center" w:pos="7143" w:leader="none"/>
        <w:tab w:val="right" w:pos="14287" w:leader="none"/>
      </w:tabs>
    </w:pPr>
  </w:style>
  <w:style w:type="paragraph" w:styleId="758">
    <w:name w:val="toc 1"/>
    <w:basedOn w:val="731"/>
    <w:next w:val="731"/>
    <w:uiPriority w:val="39"/>
    <w:unhideWhenUsed/>
    <w:qFormat/>
    <w:pPr>
      <w:spacing w:after="57"/>
    </w:pPr>
  </w:style>
  <w:style w:type="paragraph" w:styleId="759">
    <w:name w:val="toc 4"/>
    <w:basedOn w:val="731"/>
    <w:next w:val="731"/>
    <w:uiPriority w:val="39"/>
    <w:unhideWhenUsed/>
    <w:qFormat/>
    <w:pPr>
      <w:ind w:left="850"/>
      <w:spacing w:after="57"/>
    </w:pPr>
  </w:style>
  <w:style w:type="paragraph" w:styleId="760">
    <w:name w:val="Subtitle"/>
    <w:basedOn w:val="731"/>
    <w:next w:val="731"/>
    <w:link w:val="790"/>
    <w:uiPriority w:val="11"/>
    <w:qFormat/>
    <w:pPr>
      <w:spacing w:before="200" w:after="200"/>
    </w:pPr>
    <w:rPr>
      <w:sz w:val="24"/>
      <w:szCs w:val="24"/>
    </w:rPr>
  </w:style>
  <w:style w:type="paragraph" w:styleId="761">
    <w:name w:val="footnote text"/>
    <w:basedOn w:val="731"/>
    <w:link w:val="923"/>
    <w:uiPriority w:val="99"/>
    <w:semiHidden/>
    <w:unhideWhenUsed/>
    <w:qFormat/>
    <w:pPr>
      <w:spacing w:after="40"/>
    </w:pPr>
    <w:rPr>
      <w:sz w:val="18"/>
    </w:rPr>
  </w:style>
  <w:style w:type="paragraph" w:styleId="762">
    <w:name w:val="toc 6"/>
    <w:basedOn w:val="731"/>
    <w:next w:val="731"/>
    <w:uiPriority w:val="39"/>
    <w:unhideWhenUsed/>
    <w:qFormat/>
    <w:pPr>
      <w:ind w:left="1417"/>
      <w:spacing w:after="57"/>
    </w:pPr>
  </w:style>
  <w:style w:type="paragraph" w:styleId="763">
    <w:name w:val="table of figures"/>
    <w:basedOn w:val="731"/>
    <w:next w:val="731"/>
    <w:uiPriority w:val="99"/>
    <w:unhideWhenUsed/>
    <w:qFormat/>
  </w:style>
  <w:style w:type="paragraph" w:styleId="764">
    <w:name w:val="toc 2"/>
    <w:basedOn w:val="731"/>
    <w:next w:val="731"/>
    <w:uiPriority w:val="39"/>
    <w:unhideWhenUsed/>
    <w:qFormat/>
    <w:pPr>
      <w:ind w:left="283"/>
      <w:spacing w:after="57"/>
    </w:pPr>
  </w:style>
  <w:style w:type="paragraph" w:styleId="765">
    <w:name w:val="toc 9"/>
    <w:basedOn w:val="731"/>
    <w:next w:val="731"/>
    <w:uiPriority w:val="39"/>
    <w:unhideWhenUsed/>
    <w:qFormat/>
    <w:pPr>
      <w:ind w:left="2268"/>
      <w:spacing w:after="57"/>
    </w:pPr>
  </w:style>
  <w:style w:type="paragraph" w:styleId="766">
    <w:name w:val="Normal (Web)"/>
    <w:basedOn w:val="731"/>
    <w:uiPriority w:val="99"/>
    <w:qFormat/>
    <w:pPr>
      <w:jc w:val="left"/>
      <w:spacing w:before="100" w:beforeAutospacing="1" w:after="100" w:afterAutospacing="1"/>
      <w:widowControl/>
    </w:pPr>
    <w:rPr>
      <w:rFonts w:ascii="宋体" w:hAnsi="宋体" w:cs="宋体"/>
      <w:sz w:val="24"/>
      <w:szCs w:val="24"/>
    </w:rPr>
  </w:style>
  <w:style w:type="paragraph" w:styleId="767">
    <w:name w:val="Title"/>
    <w:basedOn w:val="731"/>
    <w:next w:val="731"/>
    <w:link w:val="789"/>
    <w:uiPriority w:val="10"/>
    <w:qFormat/>
    <w:pPr>
      <w:contextualSpacing/>
      <w:spacing w:before="300" w:after="200"/>
    </w:pPr>
    <w:rPr>
      <w:sz w:val="48"/>
      <w:szCs w:val="48"/>
    </w:rPr>
  </w:style>
  <w:style w:type="paragraph" w:styleId="768">
    <w:name w:val="annotation subject"/>
    <w:basedOn w:val="749"/>
    <w:next w:val="749"/>
    <w:link w:val="1061"/>
    <w:uiPriority w:val="99"/>
    <w:semiHidden/>
    <w:unhideWhenUsed/>
    <w:qFormat/>
    <w:rPr>
      <w:b/>
      <w:bCs/>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14:textFill>
        <w14:solidFill>
          <w14:schemeClr w14:val="hlink"/>
        </w14:solidFill>
      </w14:textFill>
    </w:rPr>
  </w:style>
  <w:style w:type="character" w:styleId="772">
    <w:name w:val="annotation reference"/>
    <w:basedOn w:val="741"/>
    <w:uiPriority w:val="99"/>
    <w:semiHidden/>
    <w:unhideWhenUsed/>
    <w:qFormat/>
    <w:rPr>
      <w:sz w:val="21"/>
      <w:szCs w:val="21"/>
    </w:rPr>
  </w:style>
  <w:style w:type="character" w:styleId="773">
    <w:name w:val="footnote reference"/>
    <w:uiPriority w:val="99"/>
    <w:unhideWhenUsed/>
    <w:qFormat/>
    <w:rPr>
      <w:vertAlign w:val="superscript"/>
    </w:rPr>
  </w:style>
  <w:style w:type="paragraph" w:styleId="774" w:customStyle="1">
    <w:name w:val="索引 41"/>
    <w:basedOn w:val="731"/>
    <w:next w:val="731"/>
    <w:uiPriority w:val="0"/>
    <w:semiHidden/>
    <w:qFormat/>
    <w:pPr>
      <w:ind w:left="1260"/>
    </w:pPr>
    <w:rPr>
      <w:rFonts w:ascii="Calibri" w:hAnsi="Calibri" w:eastAsia="Calibri" w:cs="宋体"/>
      <w:sz w:val="20"/>
      <w:lang w:val="zh-CN"/>
    </w:rPr>
  </w:style>
  <w:style w:type="paragraph" w:styleId="775" w:customStyle="1">
    <w:name w:val="正文首行缩进 21"/>
    <w:basedOn w:val="776"/>
    <w:next w:val="731"/>
    <w:link w:val="939"/>
    <w:uiPriority w:val="0"/>
    <w:qFormat/>
    <w:pPr>
      <w:ind w:left="0" w:firstLine="420"/>
      <w:spacing w:after="0" w:line="360" w:lineRule="auto"/>
    </w:pPr>
    <w:rPr>
      <w:rFonts w:ascii="宋体" w:hAnsi="宋体"/>
      <w:sz w:val="20"/>
      <w:szCs w:val="20"/>
      <w:lang w:eastAsia="en-US"/>
    </w:rPr>
  </w:style>
  <w:style w:type="paragraph" w:styleId="776" w:customStyle="1">
    <w:name w:val="正文文本缩进11"/>
    <w:basedOn w:val="731"/>
    <w:next w:val="777"/>
    <w:link w:val="938"/>
    <w:uiPriority w:val="0"/>
    <w:unhideWhenUsed/>
    <w:qFormat/>
    <w:pPr>
      <w:ind w:left="420"/>
      <w:spacing w:after="120"/>
    </w:pPr>
  </w:style>
  <w:style w:type="paragraph" w:styleId="777" w:customStyle="1">
    <w:name w:val="寄信人地址1"/>
    <w:basedOn w:val="731"/>
    <w:uiPriority w:val="0"/>
    <w:qFormat/>
    <w:rPr>
      <w:rFonts w:ascii="Arial" w:hAnsi="Arial" w:cs="宋体"/>
    </w:rPr>
  </w:style>
  <w:style w:type="character" w:styleId="778" w:customStyle="1">
    <w:name w:val="标题 1 字符"/>
    <w:link w:val="732"/>
    <w:uiPriority w:val="9"/>
    <w:qFormat/>
    <w:rPr>
      <w:rFonts w:ascii="Arial" w:hAnsi="Arial" w:eastAsia="Arial" w:cs="Arial"/>
      <w:sz w:val="40"/>
      <w:szCs w:val="40"/>
    </w:rPr>
  </w:style>
  <w:style w:type="character" w:styleId="779" w:customStyle="1">
    <w:name w:val="标题 2 字符"/>
    <w:link w:val="733"/>
    <w:uiPriority w:val="9"/>
    <w:qFormat/>
    <w:rPr>
      <w:rFonts w:ascii="Arial" w:hAnsi="Arial" w:eastAsia="Arial" w:cs="Arial"/>
      <w:sz w:val="34"/>
    </w:rPr>
  </w:style>
  <w:style w:type="character" w:styleId="780" w:customStyle="1">
    <w:name w:val="标题 3 字符"/>
    <w:link w:val="734"/>
    <w:uiPriority w:val="9"/>
    <w:qFormat/>
    <w:rPr>
      <w:rFonts w:ascii="Arial" w:hAnsi="Arial" w:eastAsia="Arial" w:cs="Arial"/>
      <w:sz w:val="30"/>
      <w:szCs w:val="30"/>
    </w:rPr>
  </w:style>
  <w:style w:type="character" w:styleId="781" w:customStyle="1">
    <w:name w:val="标题 4 字符"/>
    <w:link w:val="735"/>
    <w:uiPriority w:val="9"/>
    <w:qFormat/>
    <w:rPr>
      <w:rFonts w:ascii="Arial" w:hAnsi="Arial" w:eastAsia="Arial" w:cs="Arial"/>
      <w:b/>
      <w:bCs/>
      <w:sz w:val="26"/>
      <w:szCs w:val="26"/>
    </w:rPr>
  </w:style>
  <w:style w:type="character" w:styleId="782" w:customStyle="1">
    <w:name w:val="标题 5 字符"/>
    <w:link w:val="736"/>
    <w:uiPriority w:val="9"/>
    <w:qFormat/>
    <w:rPr>
      <w:rFonts w:ascii="Arial" w:hAnsi="Arial" w:eastAsia="Arial" w:cs="Arial"/>
      <w:b/>
      <w:bCs/>
      <w:sz w:val="24"/>
      <w:szCs w:val="24"/>
    </w:rPr>
  </w:style>
  <w:style w:type="character" w:styleId="783" w:customStyle="1">
    <w:name w:val="标题 6 字符"/>
    <w:link w:val="737"/>
    <w:uiPriority w:val="9"/>
    <w:qFormat/>
    <w:rPr>
      <w:rFonts w:ascii="Arial" w:hAnsi="Arial" w:eastAsia="Arial" w:cs="Arial"/>
      <w:b/>
      <w:bCs/>
      <w:sz w:val="22"/>
      <w:szCs w:val="22"/>
    </w:rPr>
  </w:style>
  <w:style w:type="character" w:styleId="784" w:customStyle="1">
    <w:name w:val="标题 7 字符"/>
    <w:link w:val="738"/>
    <w:uiPriority w:val="9"/>
    <w:qFormat/>
    <w:rPr>
      <w:rFonts w:ascii="Arial" w:hAnsi="Arial" w:eastAsia="Arial" w:cs="Arial"/>
      <w:b/>
      <w:bCs/>
      <w:i/>
      <w:iCs/>
      <w:sz w:val="22"/>
      <w:szCs w:val="22"/>
    </w:rPr>
  </w:style>
  <w:style w:type="character" w:styleId="785" w:customStyle="1">
    <w:name w:val="标题 8 字符"/>
    <w:link w:val="739"/>
    <w:uiPriority w:val="9"/>
    <w:qFormat/>
    <w:rPr>
      <w:rFonts w:ascii="Arial" w:hAnsi="Arial" w:eastAsia="Arial" w:cs="Arial"/>
      <w:i/>
      <w:iCs/>
      <w:sz w:val="22"/>
      <w:szCs w:val="22"/>
    </w:rPr>
  </w:style>
  <w:style w:type="character" w:styleId="786" w:customStyle="1">
    <w:name w:val="标题 9 字符"/>
    <w:link w:val="740"/>
    <w:uiPriority w:val="9"/>
    <w:qFormat/>
    <w:rPr>
      <w:rFonts w:ascii="Arial" w:hAnsi="Arial" w:eastAsia="Arial" w:cs="Arial"/>
      <w:i/>
      <w:iCs/>
      <w:sz w:val="21"/>
      <w:szCs w:val="21"/>
    </w:rPr>
  </w:style>
  <w:style w:type="paragraph" w:styleId="787">
    <w:name w:val="List Paragraph"/>
    <w:basedOn w:val="731"/>
    <w:uiPriority w:val="34"/>
    <w:qFormat/>
    <w:pPr>
      <w:contextualSpacing/>
      <w:ind w:left="720"/>
    </w:pPr>
  </w:style>
  <w:style w:type="paragraph" w:styleId="788">
    <w:name w:val="No Spacing"/>
    <w:uiPriority w:val="1"/>
    <w:qFormat/>
    <w:rPr>
      <w:rFonts w:ascii="Times New Roman" w:hAnsi="Times New Roman" w:eastAsia="宋体" w:cs="Times New Roman"/>
      <w:lang w:val="en-US" w:eastAsia="zh-CN" w:bidi="ar-SA"/>
    </w:rPr>
  </w:style>
  <w:style w:type="character" w:styleId="789" w:customStyle="1">
    <w:name w:val="标题 字符"/>
    <w:link w:val="767"/>
    <w:uiPriority w:val="10"/>
    <w:qFormat/>
    <w:rPr>
      <w:sz w:val="48"/>
      <w:szCs w:val="48"/>
    </w:rPr>
  </w:style>
  <w:style w:type="character" w:styleId="790" w:customStyle="1">
    <w:name w:val="副标题 字符"/>
    <w:link w:val="760"/>
    <w:uiPriority w:val="11"/>
    <w:qFormat/>
    <w:rPr>
      <w:sz w:val="24"/>
      <w:szCs w:val="24"/>
    </w:rPr>
  </w:style>
  <w:style w:type="paragraph" w:styleId="791">
    <w:name w:val="Quote"/>
    <w:basedOn w:val="731"/>
    <w:next w:val="731"/>
    <w:link w:val="792"/>
    <w:uiPriority w:val="29"/>
    <w:qFormat/>
    <w:pPr>
      <w:ind w:left="720" w:right="720"/>
    </w:pPr>
    <w:rPr>
      <w:i/>
    </w:rPr>
  </w:style>
  <w:style w:type="character" w:styleId="792" w:customStyle="1">
    <w:name w:val="引用 字符"/>
    <w:link w:val="791"/>
    <w:uiPriority w:val="29"/>
    <w:qFormat/>
    <w:rPr>
      <w:i/>
    </w:rPr>
  </w:style>
  <w:style w:type="paragraph" w:styleId="793">
    <w:name w:val="Intense Quote"/>
    <w:basedOn w:val="731"/>
    <w:next w:val="731"/>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qFormat/>
    <w:rPr>
      <w:i/>
    </w:rPr>
  </w:style>
  <w:style w:type="character" w:styleId="795" w:customStyle="1">
    <w:name w:val="页眉 字符"/>
    <w:link w:val="757"/>
    <w:uiPriority w:val="99"/>
    <w:qFormat/>
  </w:style>
  <w:style w:type="character" w:styleId="796" w:customStyle="1">
    <w:name w:val="Footer Char"/>
    <w:uiPriority w:val="99"/>
    <w:qFormat/>
  </w:style>
  <w:style w:type="character" w:styleId="797" w:customStyle="1">
    <w:name w:val="页脚 字符"/>
    <w:link w:val="756"/>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61"/>
    <w:uiPriority w:val="99"/>
    <w:qFormat/>
    <w:rPr>
      <w:sz w:val="18"/>
    </w:rPr>
  </w:style>
  <w:style w:type="character" w:styleId="924" w:customStyle="1">
    <w:name w:val="尾注文本 字符"/>
    <w:link w:val="754"/>
    <w:uiPriority w:val="99"/>
    <w:qFormat/>
    <w:rPr>
      <w:sz w:val="20"/>
    </w:rPr>
  </w:style>
  <w:style w:type="paragraph" w:styleId="925" w:customStyle="1">
    <w:name w:val="TOC 标题1"/>
    <w:uiPriority w:val="39"/>
    <w:unhideWhenUsed/>
    <w:qFormat/>
    <w:rPr>
      <w:rFonts w:ascii="Times New Roman" w:hAnsi="Times New Roman" w:eastAsia="宋体" w:cs="Times New Roman"/>
      <w:lang w:val="en-US" w:eastAsia="zh-CN" w:bidi="ar-SA"/>
    </w:rPr>
  </w:style>
  <w:style w:type="paragraph" w:styleId="926" w:customStyle="1">
    <w:name w:val="标题 11"/>
    <w:basedOn w:val="731"/>
    <w:next w:val="731"/>
    <w:link w:val="940"/>
    <w:uiPriority w:val="0"/>
    <w:qFormat/>
    <w:pPr>
      <w:jc w:val="center"/>
      <w:keepNext/>
      <w:outlineLvl w:val="0"/>
    </w:pPr>
    <w:rPr>
      <w:rFonts w:ascii="楷体_GB2312" w:eastAsia="楷体_GB2312"/>
      <w:sz w:val="28"/>
      <w:szCs w:val="28"/>
      <w:lang w:eastAsia="en-US"/>
    </w:rPr>
  </w:style>
  <w:style w:type="paragraph" w:styleId="927" w:customStyle="1">
    <w:name w:val="标题 21"/>
    <w:basedOn w:val="731"/>
    <w:next w:val="928"/>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8" w:customStyle="1">
    <w:name w:val="正文缩进1"/>
    <w:basedOn w:val="731"/>
    <w:link w:val="942"/>
    <w:uiPriority w:val="0"/>
    <w:qFormat/>
    <w:pPr>
      <w:ind w:firstLine="420"/>
    </w:pPr>
    <w:rPr>
      <w:sz w:val="20"/>
      <w:szCs w:val="21"/>
      <w:lang w:eastAsia="en-US"/>
    </w:rPr>
  </w:style>
  <w:style w:type="paragraph" w:styleId="929" w:customStyle="1">
    <w:name w:val="标题 31"/>
    <w:basedOn w:val="731"/>
    <w:next w:val="928"/>
    <w:link w:val="943"/>
    <w:uiPriority w:val="0"/>
    <w:qFormat/>
    <w:pPr>
      <w:keepLines/>
      <w:keepNext/>
      <w:spacing w:before="260" w:after="260" w:line="416" w:lineRule="auto"/>
      <w:outlineLvl w:val="2"/>
    </w:pPr>
    <w:rPr>
      <w:b/>
      <w:bCs/>
      <w:sz w:val="32"/>
      <w:szCs w:val="32"/>
      <w:lang w:eastAsia="en-US"/>
    </w:rPr>
  </w:style>
  <w:style w:type="paragraph" w:styleId="930" w:customStyle="1">
    <w:name w:val="标题 41"/>
    <w:basedOn w:val="731"/>
    <w:next w:val="928"/>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1" w:customStyle="1">
    <w:name w:val="标题 51"/>
    <w:basedOn w:val="731"/>
    <w:next w:val="928"/>
    <w:link w:val="945"/>
    <w:uiPriority w:val="0"/>
    <w:qFormat/>
    <w:pPr>
      <w:keepNext/>
      <w:outlineLvl w:val="4"/>
    </w:pPr>
    <w:rPr>
      <w:rFonts w:ascii="宋体"/>
      <w:color w:val="000000"/>
      <w:sz w:val="28"/>
      <w:szCs w:val="28"/>
      <w:lang w:eastAsia="en-US"/>
    </w:rPr>
  </w:style>
  <w:style w:type="paragraph" w:styleId="932" w:customStyle="1">
    <w:name w:val="标题 61"/>
    <w:basedOn w:val="731"/>
    <w:next w:val="731"/>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3" w:customStyle="1">
    <w:name w:val="标题 71"/>
    <w:basedOn w:val="731"/>
    <w:next w:val="731"/>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4" w:customStyle="1">
    <w:name w:val="标题 81"/>
    <w:basedOn w:val="731"/>
    <w:next w:val="731"/>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5" w:customStyle="1">
    <w:name w:val="标题 91"/>
    <w:basedOn w:val="731"/>
    <w:next w:val="731"/>
    <w:link w:val="949"/>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36" w:customStyle="1">
    <w:name w:val="默认段落字体1"/>
    <w:uiPriority w:val="1"/>
    <w:unhideWhenUsed/>
    <w:qFormat/>
  </w:style>
  <w:style w:type="table" w:styleId="937" w:customStyle="1">
    <w:name w:val="普通表格11"/>
    <w:uiPriority w:val="99"/>
    <w:unhideWhenUsed/>
    <w:qFormat/>
    <w:tblPr>
      <w:tblCellMar>
        <w:left w:w="0" w:type="dxa"/>
        <w:top w:w="0" w:type="dxa"/>
        <w:right w:w="0" w:type="dxa"/>
        <w:bottom w:w="0" w:type="dxa"/>
      </w:tblCellMar>
    </w:tblPr>
  </w:style>
  <w:style w:type="character" w:styleId="938" w:customStyle="1">
    <w:name w:val="正文文本缩进 Char"/>
    <w:basedOn w:val="936"/>
    <w:link w:val="776"/>
    <w:uiPriority w:val="99"/>
    <w:semiHidden/>
    <w:qFormat/>
  </w:style>
  <w:style w:type="character" w:styleId="939" w:customStyle="1">
    <w:name w:val="正文首行缩进 2 Char"/>
    <w:link w:val="775"/>
    <w:uiPriority w:val="0"/>
    <w:qFormat/>
    <w:rPr>
      <w:rFonts w:ascii="宋体" w:hAnsi="宋体" w:eastAsia="宋体" w:cs="Times New Roman"/>
      <w:szCs w:val="20"/>
    </w:rPr>
  </w:style>
  <w:style w:type="character" w:styleId="940" w:customStyle="1">
    <w:name w:val="标题 1 Char"/>
    <w:link w:val="926"/>
    <w:uiPriority w:val="0"/>
    <w:qFormat/>
    <w:rPr>
      <w:rFonts w:ascii="楷体_GB2312" w:hAnsi="Times New Roman" w:eastAsia="楷体_GB2312" w:cs="Times New Roman"/>
      <w:sz w:val="28"/>
      <w:szCs w:val="28"/>
    </w:rPr>
  </w:style>
  <w:style w:type="character" w:styleId="941" w:customStyle="1">
    <w:name w:val="标题 2 Char"/>
    <w:link w:val="927"/>
    <w:uiPriority w:val="0"/>
    <w:qFormat/>
    <w:rPr>
      <w:rFonts w:ascii="Arial" w:hAnsi="Arial" w:eastAsia="幼圆" w:cs="Arial"/>
      <w:b/>
      <w:bCs/>
      <w:sz w:val="44"/>
      <w:szCs w:val="44"/>
    </w:rPr>
  </w:style>
  <w:style w:type="character" w:styleId="942" w:customStyle="1">
    <w:name w:val="正文缩进 Char"/>
    <w:link w:val="928"/>
    <w:uiPriority w:val="0"/>
    <w:qFormat/>
    <w:rPr>
      <w:szCs w:val="21"/>
    </w:rPr>
  </w:style>
  <w:style w:type="character" w:styleId="943" w:customStyle="1">
    <w:name w:val="标题 3 Char"/>
    <w:link w:val="929"/>
    <w:uiPriority w:val="0"/>
    <w:qFormat/>
    <w:rPr>
      <w:rFonts w:ascii="Times New Roman" w:hAnsi="Times New Roman" w:eastAsia="宋体" w:cs="Times New Roman"/>
      <w:b/>
      <w:bCs/>
      <w:sz w:val="32"/>
      <w:szCs w:val="32"/>
    </w:rPr>
  </w:style>
  <w:style w:type="character" w:styleId="944" w:customStyle="1">
    <w:name w:val="标题 4 Char"/>
    <w:link w:val="930"/>
    <w:uiPriority w:val="0"/>
    <w:qFormat/>
    <w:rPr>
      <w:rFonts w:ascii="Arial" w:hAnsi="Arial" w:eastAsia="黑体" w:cs="Arial"/>
      <w:b/>
      <w:bCs/>
      <w:sz w:val="28"/>
      <w:szCs w:val="28"/>
    </w:rPr>
  </w:style>
  <w:style w:type="character" w:styleId="945" w:customStyle="1">
    <w:name w:val="标题 5 Char"/>
    <w:link w:val="931"/>
    <w:uiPriority w:val="0"/>
    <w:qFormat/>
    <w:rPr>
      <w:rFonts w:ascii="宋体" w:hAnsi="Times New Roman" w:eastAsia="宋体" w:cs="Times New Roman"/>
      <w:color w:val="000000"/>
      <w:sz w:val="28"/>
      <w:szCs w:val="28"/>
    </w:rPr>
  </w:style>
  <w:style w:type="character" w:styleId="946" w:customStyle="1">
    <w:name w:val="标题 6 Char"/>
    <w:link w:val="932"/>
    <w:uiPriority w:val="0"/>
    <w:qFormat/>
    <w:rPr>
      <w:rFonts w:ascii="Arial" w:hAnsi="Arial" w:eastAsia="黑体" w:cs="Times New Roman"/>
      <w:b/>
      <w:bCs/>
      <w:sz w:val="24"/>
      <w:szCs w:val="24"/>
    </w:rPr>
  </w:style>
  <w:style w:type="character" w:styleId="947" w:customStyle="1">
    <w:name w:val="标题 7 Char"/>
    <w:link w:val="933"/>
    <w:uiPriority w:val="0"/>
    <w:qFormat/>
    <w:rPr>
      <w:rFonts w:ascii="Times New Roman" w:hAnsi="Times New Roman" w:eastAsia="宋体" w:cs="Times New Roman"/>
      <w:b/>
      <w:bCs/>
      <w:sz w:val="24"/>
      <w:szCs w:val="24"/>
    </w:rPr>
  </w:style>
  <w:style w:type="character" w:styleId="948" w:customStyle="1">
    <w:name w:val="标题 8 Char"/>
    <w:link w:val="934"/>
    <w:uiPriority w:val="0"/>
    <w:qFormat/>
    <w:rPr>
      <w:rFonts w:ascii="Arial" w:hAnsi="Arial" w:eastAsia="黑体" w:cs="Times New Roman"/>
      <w:sz w:val="24"/>
      <w:szCs w:val="24"/>
    </w:rPr>
  </w:style>
  <w:style w:type="character" w:styleId="949" w:customStyle="1">
    <w:name w:val="标题 9 Char"/>
    <w:link w:val="935"/>
    <w:uiPriority w:val="0"/>
    <w:qFormat/>
    <w:rPr>
      <w:rFonts w:ascii="Arial" w:hAnsi="Arial" w:eastAsia="黑体" w:cs="Times New Roman"/>
      <w:szCs w:val="21"/>
    </w:rPr>
  </w:style>
  <w:style w:type="paragraph" w:styleId="950" w:customStyle="1">
    <w:name w:val="列表 31"/>
    <w:basedOn w:val="731"/>
    <w:uiPriority w:val="0"/>
    <w:qFormat/>
    <w:pPr>
      <w:ind w:left="100" w:hanging="200"/>
    </w:pPr>
    <w:rPr>
      <w:szCs w:val="21"/>
    </w:rPr>
  </w:style>
  <w:style w:type="paragraph" w:styleId="951" w:customStyle="1">
    <w:name w:val="目录 71"/>
    <w:basedOn w:val="731"/>
    <w:next w:val="731"/>
    <w:uiPriority w:val="0"/>
    <w:semiHidden/>
    <w:qFormat/>
    <w:pPr>
      <w:ind w:left="1260"/>
      <w:jc w:val="left"/>
    </w:pPr>
    <w:rPr>
      <w:szCs w:val="21"/>
    </w:rPr>
  </w:style>
  <w:style w:type="paragraph" w:styleId="952" w:customStyle="1">
    <w:name w:val="文档结构图1"/>
    <w:basedOn w:val="731"/>
    <w:link w:val="953"/>
    <w:uiPriority w:val="0"/>
    <w:semiHidden/>
    <w:qFormat/>
    <w:pPr>
      <w:shd w:val="clear" w:color="auto" w:fill="000080"/>
    </w:pPr>
    <w:rPr>
      <w:sz w:val="20"/>
      <w:szCs w:val="21"/>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31"/>
    <w:link w:val="955"/>
    <w:uiPriority w:val="0"/>
    <w:unhideWhenUsed/>
    <w:qFormat/>
    <w:pPr>
      <w:jc w:val="left"/>
    </w:pPr>
  </w:style>
  <w:style w:type="character" w:styleId="955" w:customStyle="1">
    <w:name w:val="批注文字 Char"/>
    <w:basedOn w:val="936"/>
    <w:link w:val="954"/>
    <w:uiPriority w:val="0"/>
    <w:qFormat/>
  </w:style>
  <w:style w:type="paragraph" w:styleId="956" w:customStyle="1">
    <w:name w:val="正文文本 31"/>
    <w:basedOn w:val="731"/>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1"/>
    <w:basedOn w:val="731"/>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列表 21"/>
    <w:basedOn w:val="731"/>
    <w:uiPriority w:val="0"/>
    <w:qFormat/>
    <w:pPr>
      <w:ind w:left="100" w:hanging="200"/>
    </w:pPr>
    <w:rPr>
      <w:szCs w:val="21"/>
    </w:rPr>
  </w:style>
  <w:style w:type="paragraph" w:styleId="961" w:customStyle="1">
    <w:name w:val="目录 51"/>
    <w:basedOn w:val="731"/>
    <w:next w:val="731"/>
    <w:uiPriority w:val="0"/>
    <w:semiHidden/>
    <w:qFormat/>
    <w:pPr>
      <w:ind w:left="840"/>
      <w:jc w:val="left"/>
    </w:pPr>
    <w:rPr>
      <w:szCs w:val="21"/>
    </w:rPr>
  </w:style>
  <w:style w:type="paragraph" w:styleId="962" w:customStyle="1">
    <w:name w:val="目录 31"/>
    <w:basedOn w:val="731"/>
    <w:next w:val="731"/>
    <w:uiPriority w:val="0"/>
    <w:semiHidden/>
    <w:qFormat/>
    <w:pPr>
      <w:ind w:left="420"/>
      <w:jc w:val="left"/>
    </w:pPr>
    <w:rPr>
      <w:i/>
      <w:iCs/>
      <w:szCs w:val="24"/>
    </w:rPr>
  </w:style>
  <w:style w:type="paragraph" w:styleId="963" w:customStyle="1">
    <w:name w:val="纯文本1"/>
    <w:basedOn w:val="731"/>
    <w:link w:val="964"/>
    <w:uiPriority w:val="0"/>
    <w:qFormat/>
    <w:rPr>
      <w:rFonts w:ascii="宋体" w:hAnsi="Courier New"/>
      <w:sz w:val="20"/>
      <w:szCs w:val="21"/>
      <w:lang w:eastAsia="en-US"/>
    </w:rPr>
  </w:style>
  <w:style w:type="character" w:styleId="964" w:customStyle="1">
    <w:name w:val="纯文本 Char"/>
    <w:link w:val="963"/>
    <w:uiPriority w:val="0"/>
    <w:qFormat/>
    <w:rPr>
      <w:rFonts w:ascii="宋体" w:hAnsi="Courier New" w:eastAsia="宋体" w:cs="Courier New"/>
      <w:szCs w:val="21"/>
    </w:rPr>
  </w:style>
  <w:style w:type="paragraph" w:styleId="965" w:customStyle="1">
    <w:name w:val="目录 81"/>
    <w:basedOn w:val="731"/>
    <w:next w:val="731"/>
    <w:uiPriority w:val="0"/>
    <w:semiHidden/>
    <w:qFormat/>
    <w:pPr>
      <w:ind w:left="1470"/>
      <w:jc w:val="left"/>
    </w:pPr>
    <w:rPr>
      <w:szCs w:val="21"/>
    </w:rPr>
  </w:style>
  <w:style w:type="paragraph" w:styleId="966" w:customStyle="1">
    <w:name w:val="日期1"/>
    <w:basedOn w:val="731"/>
    <w:next w:val="731"/>
    <w:link w:val="967"/>
    <w:uiPriority w:val="0"/>
    <w:qFormat/>
    <w:rPr>
      <w:sz w:val="24"/>
      <w:szCs w:val="24"/>
      <w:lang w:eastAsia="en-US"/>
    </w:rPr>
  </w:style>
  <w:style w:type="character" w:styleId="967" w:customStyle="1">
    <w:name w:val="日期 Char"/>
    <w:link w:val="966"/>
    <w:uiPriority w:val="0"/>
    <w:qFormat/>
    <w:rPr>
      <w:rFonts w:ascii="Times New Roman" w:hAnsi="Times New Roman" w:eastAsia="宋体" w:cs="Times New Roman"/>
      <w:sz w:val="24"/>
      <w:szCs w:val="24"/>
    </w:rPr>
  </w:style>
  <w:style w:type="paragraph" w:styleId="968" w:customStyle="1">
    <w:name w:val="正文文本缩进 21"/>
    <w:basedOn w:val="731"/>
    <w:link w:val="969"/>
    <w:uiPriority w:val="0"/>
    <w:qFormat/>
    <w:pPr>
      <w:ind w:left="630" w:firstLine="645"/>
    </w:pPr>
    <w:rPr>
      <w:rFonts w:ascii="Arial" w:hAnsi="Arial" w:eastAsia="仿宋_GB2312"/>
      <w:sz w:val="32"/>
      <w:szCs w:val="32"/>
      <w:lang w:eastAsia="en-US"/>
    </w:rPr>
  </w:style>
  <w:style w:type="character" w:styleId="969" w:customStyle="1">
    <w:name w:val="正文文本缩进 2 Char"/>
    <w:link w:val="968"/>
    <w:uiPriority w:val="0"/>
    <w:qFormat/>
    <w:rPr>
      <w:rFonts w:ascii="Arial" w:hAnsi="Arial" w:eastAsia="仿宋_GB2312" w:cs="Arial"/>
      <w:sz w:val="32"/>
      <w:szCs w:val="32"/>
    </w:rPr>
  </w:style>
  <w:style w:type="paragraph" w:styleId="970" w:customStyle="1">
    <w:name w:val="批注框文本1"/>
    <w:basedOn w:val="731"/>
    <w:link w:val="971"/>
    <w:uiPriority w:val="0"/>
    <w:semiHidden/>
    <w:qFormat/>
    <w:rPr>
      <w:sz w:val="18"/>
      <w:szCs w:val="18"/>
      <w:lang w:eastAsia="en-US"/>
    </w:rPr>
  </w:style>
  <w:style w:type="character" w:styleId="971" w:customStyle="1">
    <w:name w:val="批注框文本 Char"/>
    <w:link w:val="970"/>
    <w:uiPriority w:val="0"/>
    <w:semiHidden/>
    <w:qFormat/>
    <w:rPr>
      <w:rFonts w:ascii="Times New Roman" w:hAnsi="Times New Roman" w:eastAsia="宋体" w:cs="Times New Roman"/>
      <w:sz w:val="18"/>
      <w:szCs w:val="18"/>
    </w:rPr>
  </w:style>
  <w:style w:type="paragraph" w:styleId="972" w:customStyle="1">
    <w:name w:val="页脚1"/>
    <w:basedOn w:val="731"/>
    <w:link w:val="973"/>
    <w:uiPriority w:val="0"/>
    <w:qFormat/>
    <w:pPr>
      <w:jc w:val="left"/>
      <w:tabs>
        <w:tab w:val="center" w:pos="4153" w:leader="none"/>
        <w:tab w:val="right" w:pos="8306" w:leader="none"/>
      </w:tabs>
    </w:pPr>
    <w:rPr>
      <w:sz w:val="18"/>
      <w:szCs w:val="18"/>
      <w:lang w:eastAsia="en-US"/>
    </w:rPr>
  </w:style>
  <w:style w:type="character" w:styleId="973" w:customStyle="1">
    <w:name w:val="页脚 Char"/>
    <w:link w:val="972"/>
    <w:uiPriority w:val="0"/>
    <w:qFormat/>
    <w:rPr>
      <w:rFonts w:ascii="Times New Roman" w:hAnsi="Times New Roman" w:eastAsia="宋体" w:cs="Times New Roman"/>
      <w:sz w:val="18"/>
      <w:szCs w:val="18"/>
    </w:rPr>
  </w:style>
  <w:style w:type="paragraph" w:styleId="974" w:customStyle="1">
    <w:name w:val="页眉1"/>
    <w:basedOn w:val="731"/>
    <w:link w:val="975"/>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5" w:customStyle="1">
    <w:name w:val="页眉 Char"/>
    <w:link w:val="974"/>
    <w:uiPriority w:val="0"/>
    <w:qFormat/>
    <w:rPr>
      <w:rFonts w:ascii="Times New Roman" w:hAnsi="Times New Roman" w:eastAsia="宋体" w:cs="Times New Roman"/>
      <w:sz w:val="18"/>
      <w:szCs w:val="18"/>
    </w:rPr>
  </w:style>
  <w:style w:type="paragraph" w:styleId="976" w:customStyle="1">
    <w:name w:val="目录 11"/>
    <w:basedOn w:val="731"/>
    <w:next w:val="731"/>
    <w:uiPriority w:val="0"/>
    <w:semiHidden/>
    <w:qFormat/>
    <w:pPr>
      <w:jc w:val="left"/>
      <w:spacing w:before="120" w:after="120" w:line="400" w:lineRule="exact"/>
      <w:tabs>
        <w:tab w:val="right" w:pos="8720" w:leader="dot"/>
      </w:tabs>
    </w:pPr>
    <w:rPr>
      <w:rFonts w:ascii="宋体" w:hAnsi="宋体"/>
      <w:caps/>
      <w:sz w:val="24"/>
      <w:szCs w:val="24"/>
    </w:rPr>
  </w:style>
  <w:style w:type="paragraph" w:styleId="977" w:customStyle="1">
    <w:name w:val="目录 41"/>
    <w:basedOn w:val="731"/>
    <w:next w:val="731"/>
    <w:uiPriority w:val="0"/>
    <w:semiHidden/>
    <w:qFormat/>
    <w:pPr>
      <w:ind w:left="630"/>
      <w:jc w:val="left"/>
    </w:pPr>
    <w:rPr>
      <w:szCs w:val="21"/>
    </w:rPr>
  </w:style>
  <w:style w:type="paragraph" w:styleId="978" w:customStyle="1">
    <w:name w:val="列表1"/>
    <w:basedOn w:val="731"/>
    <w:uiPriority w:val="0"/>
    <w:qFormat/>
    <w:pPr>
      <w:ind w:left="200" w:hanging="200"/>
    </w:pPr>
    <w:rPr>
      <w:szCs w:val="21"/>
    </w:rPr>
  </w:style>
  <w:style w:type="paragraph" w:styleId="979" w:customStyle="1">
    <w:name w:val="目录 61"/>
    <w:basedOn w:val="731"/>
    <w:next w:val="731"/>
    <w:uiPriority w:val="0"/>
    <w:semiHidden/>
    <w:qFormat/>
    <w:pPr>
      <w:ind w:left="1050"/>
      <w:jc w:val="left"/>
    </w:pPr>
    <w:rPr>
      <w:szCs w:val="21"/>
    </w:rPr>
  </w:style>
  <w:style w:type="paragraph" w:styleId="980" w:customStyle="1">
    <w:name w:val="正文文本缩进 31"/>
    <w:basedOn w:val="731"/>
    <w:link w:val="981"/>
    <w:uiPriority w:val="0"/>
    <w:qFormat/>
    <w:pPr>
      <w:ind w:left="645" w:firstLine="645"/>
    </w:pPr>
    <w:rPr>
      <w:rFonts w:ascii="Arial" w:hAnsi="Arial" w:eastAsia="仿宋_GB2312"/>
      <w:color w:val="ffff00"/>
      <w:sz w:val="32"/>
      <w:szCs w:val="32"/>
      <w:lang w:eastAsia="en-US"/>
    </w:rPr>
  </w:style>
  <w:style w:type="character" w:styleId="981" w:customStyle="1">
    <w:name w:val="正文文本缩进 3 Char"/>
    <w:link w:val="980"/>
    <w:uiPriority w:val="0"/>
    <w:qFormat/>
    <w:rPr>
      <w:rFonts w:ascii="Arial" w:hAnsi="Arial" w:eastAsia="仿宋_GB2312" w:cs="Arial"/>
      <w:color w:val="ffff00"/>
      <w:sz w:val="32"/>
      <w:szCs w:val="32"/>
    </w:rPr>
  </w:style>
  <w:style w:type="paragraph" w:styleId="982" w:customStyle="1">
    <w:name w:val="图表目录1"/>
    <w:basedOn w:val="731"/>
    <w:next w:val="731"/>
    <w:uiPriority w:val="0"/>
    <w:semiHidden/>
    <w:qFormat/>
    <w:pPr>
      <w:ind w:left="840" w:hanging="420"/>
    </w:pPr>
    <w:rPr>
      <w:szCs w:val="21"/>
    </w:rPr>
  </w:style>
  <w:style w:type="paragraph" w:styleId="983" w:customStyle="1">
    <w:name w:val="目录 21"/>
    <w:basedOn w:val="731"/>
    <w:next w:val="731"/>
    <w:uiPriority w:val="0"/>
    <w:semiHidden/>
    <w:qFormat/>
    <w:pPr>
      <w:ind w:left="210"/>
      <w:jc w:val="left"/>
    </w:pPr>
    <w:rPr>
      <w:smallCaps/>
      <w:szCs w:val="24"/>
    </w:rPr>
  </w:style>
  <w:style w:type="paragraph" w:styleId="984" w:customStyle="1">
    <w:name w:val="目录 91"/>
    <w:basedOn w:val="731"/>
    <w:next w:val="731"/>
    <w:uiPriority w:val="0"/>
    <w:semiHidden/>
    <w:qFormat/>
    <w:pPr>
      <w:ind w:left="1680"/>
      <w:jc w:val="left"/>
    </w:pPr>
    <w:rPr>
      <w:szCs w:val="21"/>
    </w:rPr>
  </w:style>
  <w:style w:type="paragraph" w:styleId="985" w:customStyle="1">
    <w:name w:val="正文文本 21"/>
    <w:basedOn w:val="731"/>
    <w:link w:val="986"/>
    <w:uiPriority w:val="0"/>
    <w:qFormat/>
    <w:pPr>
      <w:jc w:val="center"/>
      <w:widowControl/>
    </w:pPr>
    <w:rPr>
      <w:rFonts w:ascii="楷体_GB2312" w:eastAsia="楷体_GB2312"/>
      <w:sz w:val="28"/>
      <w:szCs w:val="28"/>
      <w:lang w:eastAsia="en-US"/>
    </w:rPr>
  </w:style>
  <w:style w:type="character" w:styleId="986" w:customStyle="1">
    <w:name w:val="正文文本 2 Char"/>
    <w:link w:val="985"/>
    <w:uiPriority w:val="0"/>
    <w:qFormat/>
    <w:rPr>
      <w:rFonts w:ascii="楷体_GB2312" w:hAnsi="Times New Roman" w:eastAsia="楷体_GB2312" w:cs="Times New Roman"/>
      <w:sz w:val="28"/>
      <w:szCs w:val="28"/>
    </w:rPr>
  </w:style>
  <w:style w:type="paragraph" w:styleId="987" w:customStyle="1">
    <w:name w:val="普通(网站)1"/>
    <w:basedOn w:val="731"/>
    <w:uiPriority w:val="99"/>
    <w:qFormat/>
    <w:pPr>
      <w:jc w:val="left"/>
      <w:spacing w:before="100" w:beforeAutospacing="1" w:after="100" w:afterAutospacing="1"/>
      <w:widowControl/>
    </w:pPr>
    <w:rPr>
      <w:rFonts w:ascii="宋体" w:hAnsi="宋体" w:cs="宋体"/>
      <w:sz w:val="24"/>
      <w:szCs w:val="24"/>
    </w:rPr>
  </w:style>
  <w:style w:type="paragraph" w:styleId="988" w:customStyle="1">
    <w:name w:val="索引 11"/>
    <w:basedOn w:val="731"/>
    <w:next w:val="731"/>
    <w:uiPriority w:val="0"/>
    <w:semiHidden/>
    <w:qFormat/>
    <w:pPr>
      <w:spacing w:line="240" w:lineRule="atLeast"/>
    </w:pPr>
    <w:rPr>
      <w:b/>
      <w:bCs/>
      <w:szCs w:val="21"/>
    </w:rPr>
  </w:style>
  <w:style w:type="paragraph" w:styleId="989" w:customStyle="1">
    <w:name w:val="批注主题1"/>
    <w:basedOn w:val="954"/>
    <w:next w:val="954"/>
    <w:link w:val="990"/>
    <w:uiPriority w:val="0"/>
    <w:semiHidden/>
    <w:qFormat/>
    <w:rPr>
      <w:b/>
      <w:bCs/>
      <w:sz w:val="20"/>
      <w:szCs w:val="21"/>
      <w:lang w:eastAsia="en-US"/>
    </w:rPr>
  </w:style>
  <w:style w:type="character" w:styleId="990" w:customStyle="1">
    <w:name w:val="批注主题 Char"/>
    <w:link w:val="989"/>
    <w:uiPriority w:val="0"/>
    <w:semiHidden/>
    <w:qFormat/>
    <w:rPr>
      <w:rFonts w:ascii="Times New Roman" w:hAnsi="Times New Roman" w:eastAsia="宋体" w:cs="Times New Roman"/>
      <w:b/>
      <w:bCs/>
      <w:szCs w:val="21"/>
    </w:rPr>
  </w:style>
  <w:style w:type="paragraph" w:styleId="991" w:customStyle="1">
    <w:name w:val="正文首行缩进1"/>
    <w:basedOn w:val="731"/>
    <w:link w:val="992"/>
    <w:uiPriority w:val="0"/>
    <w:qFormat/>
    <w:pPr>
      <w:ind w:firstLine="200"/>
      <w:spacing w:line="360" w:lineRule="auto"/>
    </w:pPr>
    <w:rPr>
      <w:rFonts w:ascii="仿宋_GB2312" w:eastAsia="仿宋_GB2312"/>
      <w:sz w:val="30"/>
      <w:szCs w:val="30"/>
      <w:lang w:eastAsia="en-US"/>
    </w:rPr>
  </w:style>
  <w:style w:type="character" w:styleId="992" w:customStyle="1">
    <w:name w:val="正文首行缩进 Char"/>
    <w:link w:val="991"/>
    <w:uiPriority w:val="0"/>
    <w:qFormat/>
    <w:rPr>
      <w:rFonts w:ascii="仿宋_GB2312" w:hAnsi="Times New Roman" w:eastAsia="仿宋_GB2312" w:cs="Times New Roman"/>
      <w:sz w:val="30"/>
      <w:szCs w:val="30"/>
    </w:rPr>
  </w:style>
  <w:style w:type="table" w:styleId="993" w:customStyle="1">
    <w:name w:val="网格型11"/>
    <w:basedOn w:val="937"/>
    <w:uiPriority w:val="0"/>
    <w:qFormat/>
    <w:pPr>
      <w:jc w:val="both"/>
      <w:widowControl w:val="off"/>
    </w:pPr>
    <w:tblPr/>
  </w:style>
  <w:style w:type="character" w:styleId="994" w:customStyle="1">
    <w:name w:val="要点1"/>
    <w:uiPriority w:val="0"/>
    <w:qFormat/>
    <w:rPr>
      <w:b/>
      <w:bCs/>
    </w:rPr>
  </w:style>
  <w:style w:type="character" w:styleId="995" w:customStyle="1">
    <w:name w:val="页码1"/>
    <w:uiPriority w:val="0"/>
    <w:qFormat/>
  </w:style>
  <w:style w:type="character" w:styleId="996" w:customStyle="1">
    <w:name w:val="已访问的超链接1"/>
    <w:basedOn w:val="936"/>
    <w:uiPriority w:val="0"/>
    <w:qFormat/>
    <w:rPr>
      <w:rFonts w:hint="eastAsia" w:ascii="微软雅黑" w:hAnsi="微软雅黑" w:eastAsia="微软雅黑" w:cs="微软雅黑"/>
      <w:color w:val="02396f"/>
      <w:u w:val="single"/>
    </w:rPr>
  </w:style>
  <w:style w:type="character" w:styleId="997" w:customStyle="1">
    <w:name w:val="超链接1"/>
    <w:basedOn w:val="936"/>
    <w:uiPriority w:val="0"/>
    <w:qFormat/>
    <w:rPr>
      <w:rFonts w:hint="eastAsia" w:ascii="微软雅黑" w:hAnsi="微软雅黑" w:eastAsia="微软雅黑" w:cs="微软雅黑"/>
      <w:color w:val="02396f"/>
      <w:u w:val="single"/>
    </w:rPr>
  </w:style>
  <w:style w:type="character" w:styleId="998" w:customStyle="1">
    <w:name w:val="批注引用1"/>
    <w:uiPriority w:val="0"/>
    <w:semiHidden/>
    <w:qFormat/>
    <w:rPr>
      <w:sz w:val="21"/>
      <w:szCs w:val="21"/>
    </w:rPr>
  </w:style>
  <w:style w:type="paragraph" w:styleId="999" w:customStyle="1">
    <w:name w:val="正文文本缩进1"/>
    <w:basedOn w:val="731"/>
    <w:next w:val="1000"/>
    <w:uiPriority w:val="0"/>
    <w:unhideWhenUsed/>
    <w:qFormat/>
    <w:pPr>
      <w:ind w:left="420"/>
      <w:spacing w:after="120"/>
    </w:pPr>
  </w:style>
  <w:style w:type="paragraph" w:styleId="1000" w:customStyle="1">
    <w:name w:val="正文文本首行缩进 21"/>
    <w:basedOn w:val="999"/>
    <w:uiPriority w:val="0"/>
    <w:qFormat/>
    <w:pPr>
      <w:ind w:left="0" w:firstLine="420"/>
      <w:spacing w:after="0" w:line="360" w:lineRule="auto"/>
    </w:pPr>
    <w:rPr>
      <w:rFonts w:ascii="宋体" w:hAnsi="宋体"/>
      <w:sz w:val="20"/>
      <w:szCs w:val="20"/>
      <w:lang w:eastAsia="en-US"/>
    </w:rPr>
  </w:style>
  <w:style w:type="character" w:styleId="1001" w:customStyle="1">
    <w:name w:val="font5 Char"/>
    <w:uiPriority w:val="0"/>
    <w:qFormat/>
    <w:rPr>
      <w:rFonts w:ascii="宋体" w:hAnsi="宋体" w:eastAsia="宋体"/>
      <w:sz w:val="28"/>
      <w:szCs w:val="28"/>
      <w:lang w:val="en-US" w:eastAsia="zh-CN" w:bidi="ar-SA"/>
    </w:rPr>
  </w:style>
  <w:style w:type="character" w:styleId="1002" w:customStyle="1">
    <w:name w:val="二级目录 Char"/>
    <w:link w:val="1003"/>
    <w:uiPriority w:val="0"/>
    <w:qFormat/>
    <w:rPr>
      <w:b/>
      <w:sz w:val="30"/>
      <w:szCs w:val="28"/>
    </w:rPr>
  </w:style>
  <w:style w:type="paragraph" w:styleId="1003" w:customStyle="1">
    <w:name w:val="二级目录"/>
    <w:next w:val="731"/>
    <w:link w:val="100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4" w:customStyle="1">
    <w:name w:val="列出段落 Char"/>
    <w:link w:val="1005"/>
    <w:uiPriority w:val="0"/>
    <w:qFormat/>
    <w:rPr>
      <w:rFonts w:ascii="Calibri" w:hAnsi="Calibri"/>
      <w:sz w:val="24"/>
      <w:szCs w:val="24"/>
      <w:lang w:eastAsia="en-US" w:bidi="en-US"/>
    </w:rPr>
  </w:style>
  <w:style w:type="paragraph" w:styleId="1005" w:customStyle="1">
    <w:name w:val="列出段落1"/>
    <w:basedOn w:val="731"/>
    <w:link w:val="1004"/>
    <w:uiPriority w:val="0"/>
    <w:qFormat/>
    <w:pPr>
      <w:contextualSpacing/>
      <w:ind w:left="720"/>
      <w:jc w:val="left"/>
      <w:widowControl/>
    </w:pPr>
    <w:rPr>
      <w:rFonts w:ascii="Calibri" w:hAnsi="Calibri"/>
      <w:sz w:val="24"/>
      <w:szCs w:val="24"/>
      <w:lang w:eastAsia="en-US" w:bidi="en-US"/>
    </w:rPr>
  </w:style>
  <w:style w:type="paragraph" w:styleId="1006" w:customStyle="1">
    <w:name w:val="Body Text(ch)"/>
    <w:basedOn w:val="731"/>
    <w:next w:val="958"/>
    <w:uiPriority w:val="0"/>
    <w:qFormat/>
    <w:pPr>
      <w:spacing w:after="120"/>
    </w:pPr>
    <w:rPr>
      <w:rFonts w:ascii="宋体" w:hAnsi="Arial"/>
      <w:bCs/>
      <w:iCs/>
      <w:szCs w:val="24"/>
    </w:rPr>
  </w:style>
  <w:style w:type="paragraph" w:styleId="1007" w:customStyle="1">
    <w:name w:val="xl2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xl2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customStyle="1">
    <w:name w:val="Char"/>
    <w:basedOn w:val="731"/>
    <w:uiPriority w:val="0"/>
    <w:qFormat/>
    <w:pPr>
      <w:ind w:firstLine="200"/>
      <w:tabs>
        <w:tab w:val="left" w:pos="360" w:leader="none"/>
      </w:tabs>
    </w:pPr>
    <w:rPr>
      <w:sz w:val="28"/>
      <w:szCs w:val="30"/>
    </w:rPr>
  </w:style>
  <w:style w:type="paragraph" w:styleId="1010" w:customStyle="1">
    <w:name w:val="Char1"/>
    <w:basedOn w:val="952"/>
    <w:uiPriority w:val="0"/>
    <w:qFormat/>
    <w:rPr>
      <w:rFonts w:ascii="Tahoma" w:hAnsi="Tahoma"/>
      <w:sz w:val="24"/>
      <w:szCs w:val="24"/>
    </w:rPr>
  </w:style>
  <w:style w:type="paragraph" w:styleId="1011" w:customStyle="1">
    <w:name w:val="普通正文"/>
    <w:basedOn w:val="731"/>
    <w:uiPriority w:val="0"/>
    <w:qFormat/>
    <w:pPr>
      <w:ind w:firstLine="480"/>
      <w:jc w:val="left"/>
      <w:spacing w:before="120" w:after="120" w:line="360" w:lineRule="auto"/>
    </w:pPr>
    <w:rPr>
      <w:rFonts w:ascii="Arial" w:hAnsi="Arial"/>
      <w:sz w:val="24"/>
      <w:szCs w:val="24"/>
    </w:rPr>
  </w:style>
  <w:style w:type="paragraph" w:styleId="1012" w:customStyle="1">
    <w:name w:val="table_lines"/>
    <w:basedOn w:val="731"/>
    <w:uiPriority w:val="0"/>
    <w:qFormat/>
    <w:pPr>
      <w:jc w:val="left"/>
      <w:widowControl/>
    </w:pPr>
    <w:rPr>
      <w:sz w:val="20"/>
      <w:szCs w:val="20"/>
      <w:lang w:val="de-DE" w:eastAsia="de-DE"/>
    </w:rPr>
  </w:style>
  <w:style w:type="paragraph" w:styleId="101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4" w:customStyle="1">
    <w:name w:val="font7"/>
    <w:basedOn w:val="731"/>
    <w:uiPriority w:val="0"/>
    <w:qFormat/>
    <w:pPr>
      <w:jc w:val="left"/>
      <w:spacing w:before="100" w:beforeAutospacing="1" w:after="100" w:afterAutospacing="1"/>
      <w:widowControl/>
    </w:pPr>
    <w:rPr>
      <w:rFonts w:hint="eastAsia" w:ascii="宋体" w:hAnsi="宋体"/>
      <w:sz w:val="18"/>
      <w:szCs w:val="18"/>
    </w:rPr>
  </w:style>
  <w:style w:type="paragraph" w:styleId="1015" w:customStyle="1">
    <w:name w:val="Char Char Char Char"/>
    <w:basedOn w:val="952"/>
    <w:uiPriority w:val="0"/>
    <w:qFormat/>
    <w:pPr>
      <w:spacing w:line="360" w:lineRule="auto"/>
    </w:pPr>
    <w:rPr>
      <w:rFonts w:ascii="Tahoma" w:hAnsi="Tahoma"/>
      <w:sz w:val="24"/>
      <w:szCs w:val="24"/>
    </w:rPr>
  </w:style>
  <w:style w:type="paragraph" w:styleId="1016" w:customStyle="1">
    <w:name w:val="列出段落2"/>
    <w:basedOn w:val="731"/>
    <w:uiPriority w:val="0"/>
    <w:qFormat/>
    <w:pPr>
      <w:contextualSpacing/>
      <w:ind w:left="720"/>
      <w:jc w:val="left"/>
      <w:widowControl/>
    </w:pPr>
    <w:rPr>
      <w:rFonts w:ascii="Calibri" w:hAnsi="Calibri"/>
      <w:sz w:val="24"/>
      <w:szCs w:val="24"/>
      <w:lang w:eastAsia="en-US" w:bidi="en-US"/>
    </w:rPr>
  </w:style>
  <w:style w:type="paragraph" w:styleId="1017" w:customStyle="1">
    <w:name w:val="4"/>
    <w:basedOn w:val="731"/>
    <w:next w:val="980"/>
    <w:uiPriority w:val="0"/>
    <w:qFormat/>
    <w:pPr>
      <w:ind w:firstLine="420"/>
      <w:spacing w:line="360" w:lineRule="auto"/>
    </w:pPr>
    <w:rPr>
      <w:color w:val="ff0000"/>
      <w:sz w:val="24"/>
      <w:szCs w:val="24"/>
    </w:rPr>
  </w:style>
  <w:style w:type="paragraph" w:styleId="1018" w:customStyle="1">
    <w:name w:val="普通 (Web)"/>
    <w:basedOn w:val="731"/>
    <w:uiPriority w:val="0"/>
    <w:qFormat/>
    <w:pPr>
      <w:jc w:val="left"/>
      <w:spacing w:before="100" w:beforeAutospacing="1" w:after="100" w:afterAutospacing="1"/>
      <w:widowControl/>
    </w:pPr>
    <w:rPr>
      <w:rFonts w:ascii="宋体" w:hAnsi="宋体"/>
      <w:sz w:val="24"/>
      <w:szCs w:val="24"/>
    </w:rPr>
  </w:style>
  <w:style w:type="paragraph" w:styleId="1019" w:customStyle="1">
    <w:name w:val="Char Char Char Char Char Char Char Char Char Char"/>
    <w:basedOn w:val="731"/>
    <w:uiPriority w:val="0"/>
    <w:qFormat/>
    <w:pPr>
      <w:spacing w:line="360" w:lineRule="auto"/>
    </w:pPr>
    <w:rPr>
      <w:sz w:val="24"/>
      <w:szCs w:val="20"/>
    </w:rPr>
  </w:style>
  <w:style w:type="paragraph" w:styleId="1020" w:customStyle="1">
    <w:name w:val="样式1"/>
    <w:basedOn w:val="731"/>
    <w:uiPriority w:val="0"/>
    <w:qFormat/>
    <w:pPr>
      <w:numPr>
        <w:ilvl w:val="0"/>
        <w:numId w:val="3"/>
      </w:numPr>
    </w:pPr>
    <w:rPr>
      <w:rFonts w:ascii="宋体" w:hAnsi="宋体"/>
      <w:szCs w:val="21"/>
    </w:rPr>
  </w:style>
  <w:style w:type="paragraph" w:styleId="1021" w:customStyle="1">
    <w:name w:val="font6"/>
    <w:basedOn w:val="731"/>
    <w:uiPriority w:val="0"/>
    <w:qFormat/>
    <w:pPr>
      <w:jc w:val="left"/>
      <w:spacing w:before="100" w:beforeAutospacing="1" w:after="100" w:afterAutospacing="1"/>
      <w:widowControl/>
    </w:pPr>
    <w:rPr>
      <w:rFonts w:hint="eastAsia" w:ascii="宋体" w:hAnsi="宋体"/>
      <w:sz w:val="28"/>
      <w:szCs w:val="28"/>
      <w:u w:val="single"/>
    </w:rPr>
  </w:style>
  <w:style w:type="paragraph" w:styleId="1022" w:customStyle="1">
    <w:name w:val="xl25"/>
    <w:basedOn w:val="7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图标"/>
    <w:basedOn w:val="731"/>
    <w:next w:val="73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标题3"/>
    <w:basedOn w:val="731"/>
    <w:next w:val="731"/>
    <w:uiPriority w:val="0"/>
    <w:qFormat/>
    <w:pPr>
      <w:ind w:firstLine="624"/>
      <w:spacing w:line="590" w:lineRule="atLeast"/>
    </w:pPr>
    <w:rPr>
      <w:rFonts w:ascii="方正黑体_GBK" w:eastAsia="方正黑体_GBK"/>
      <w:sz w:val="32"/>
      <w:szCs w:val="32"/>
    </w:rPr>
  </w:style>
  <w:style w:type="paragraph" w:styleId="1025" w:customStyle="1">
    <w:name w:val="xl24"/>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9"/>
    <w:basedOn w:val="73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Char Char Char Char Char Char Char Char"/>
    <w:basedOn w:val="731"/>
    <w:uiPriority w:val="0"/>
    <w:qFormat/>
    <w:pPr>
      <w:jc w:val="left"/>
      <w:spacing w:after="160" w:line="240" w:lineRule="exact"/>
      <w:widowControl/>
    </w:pPr>
    <w:rPr>
      <w:rFonts w:ascii="Verdana" w:hAnsi="Verdana"/>
      <w:sz w:val="20"/>
      <w:szCs w:val="20"/>
      <w:lang w:eastAsia="en-US"/>
    </w:rPr>
  </w:style>
  <w:style w:type="paragraph" w:styleId="1028" w:customStyle="1">
    <w:name w:val="xl2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customStyle="1">
    <w:name w:val="Char Char Char Char Char Char Char Char1"/>
    <w:basedOn w:val="731"/>
    <w:uiPriority w:val="0"/>
    <w:qFormat/>
    <w:pPr>
      <w:jc w:val="left"/>
      <w:spacing w:after="160" w:line="240" w:lineRule="exact"/>
      <w:widowControl/>
    </w:pPr>
    <w:rPr>
      <w:rFonts w:ascii="Verdana" w:hAnsi="Verdana"/>
      <w:sz w:val="20"/>
      <w:szCs w:val="20"/>
      <w:lang w:eastAsia="en-US"/>
    </w:rPr>
  </w:style>
  <w:style w:type="paragraph" w:styleId="1030" w:customStyle="1">
    <w:name w:val="xl30"/>
    <w:basedOn w:val="731"/>
    <w:uiPriority w:val="0"/>
    <w:qFormat/>
    <w:pPr>
      <w:jc w:val="center"/>
      <w:spacing w:before="100" w:beforeAutospacing="1" w:after="100" w:afterAutospacing="1"/>
      <w:widowControl/>
    </w:pPr>
    <w:rPr>
      <w:rFonts w:ascii="宋体" w:hAnsi="宋体"/>
      <w:b/>
      <w:bCs/>
      <w:sz w:val="36"/>
      <w:szCs w:val="36"/>
    </w:rPr>
  </w:style>
  <w:style w:type="paragraph" w:styleId="1031" w:customStyle="1">
    <w:name w:val="Char Char Char Char1"/>
    <w:basedOn w:val="952"/>
    <w:uiPriority w:val="0"/>
    <w:qFormat/>
    <w:pPr>
      <w:spacing w:line="360" w:lineRule="auto"/>
    </w:pPr>
    <w:rPr>
      <w:rFonts w:ascii="Tahoma" w:hAnsi="Tahoma"/>
      <w:sz w:val="24"/>
      <w:szCs w:val="24"/>
    </w:rPr>
  </w:style>
  <w:style w:type="paragraph" w:styleId="1032" w:customStyle="1">
    <w:name w:val="table_1stline"/>
    <w:basedOn w:val="731"/>
    <w:uiPriority w:val="0"/>
    <w:qFormat/>
    <w:pPr>
      <w:jc w:val="left"/>
      <w:spacing w:before="120"/>
      <w:widowControl/>
    </w:pPr>
    <w:rPr>
      <w:bCs/>
      <w:sz w:val="20"/>
      <w:szCs w:val="20"/>
      <w:lang w:val="de-DE" w:eastAsia="de-DE"/>
    </w:rPr>
  </w:style>
  <w:style w:type="paragraph" w:styleId="1033" w:customStyle="1">
    <w:name w:val="font5"/>
    <w:basedOn w:val="731"/>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标题1"/>
    <w:basedOn w:val="731"/>
    <w:next w:val="73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修订1"/>
    <w:uiPriority w:val="99"/>
    <w:semiHidden/>
    <w:qFormat/>
    <w:rPr>
      <w:rFonts w:ascii="Times New Roman" w:hAnsi="Times New Roman" w:eastAsia="宋体" w:cs="Times New Roman"/>
      <w:sz w:val="21"/>
      <w:szCs w:val="21"/>
      <w:lang w:val="en-US" w:eastAsia="zh-CN" w:bidi="ar-SA"/>
    </w:rPr>
  </w:style>
  <w:style w:type="paragraph" w:styleId="103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37" w:customStyle="1">
    <w:name w:val="Table Normal"/>
    <w:uiPriority w:val="0"/>
    <w:qFormat/>
    <w:tblPr>
      <w:tblCellMar>
        <w:left w:w="0" w:type="dxa"/>
        <w:top w:w="0" w:type="dxa"/>
        <w:right w:w="0" w:type="dxa"/>
        <w:bottom w:w="0" w:type="dxa"/>
      </w:tblCellMar>
    </w:tblPr>
  </w:style>
  <w:style w:type="paragraph" w:styleId="1038" w:customStyle="1">
    <w:name w:val="正文文本12"/>
    <w:basedOn w:val="731"/>
    <w:uiPriority w:val="1"/>
    <w:qFormat/>
    <w:pPr>
      <w:ind w:left="120"/>
    </w:pPr>
    <w:rPr>
      <w:rFonts w:ascii="宋体" w:hAnsi="宋体" w:cs="宋体"/>
      <w:szCs w:val="21"/>
      <w:lang w:val="zh-CN" w:bidi="zh-CN"/>
    </w:rPr>
  </w:style>
  <w:style w:type="paragraph" w:styleId="1039" w:customStyle="1">
    <w:name w:val="正文文本 211"/>
    <w:basedOn w:val="731"/>
    <w:uiPriority w:val="99"/>
    <w:qFormat/>
    <w:pPr>
      <w:jc w:val="center"/>
    </w:pPr>
    <w:rPr>
      <w:b/>
      <w:bCs/>
      <w:sz w:val="20"/>
      <w:szCs w:val="20"/>
    </w:rPr>
  </w:style>
  <w:style w:type="paragraph" w:styleId="1040" w:customStyle="1">
    <w:name w:val="正文文本1"/>
    <w:basedOn w:val="731"/>
    <w:next w:val="731"/>
    <w:uiPriority w:val="0"/>
    <w:semiHidden/>
    <w:qFormat/>
    <w:rPr>
      <w:rFonts w:ascii="Arial" w:hAnsi="Arial" w:eastAsia="Arial" w:cs="Arial"/>
      <w:szCs w:val="21"/>
      <w:lang w:eastAsia="en-US"/>
    </w:rPr>
  </w:style>
  <w:style w:type="paragraph" w:styleId="1041" w:customStyle="1">
    <w:name w:val="Table Paragraph"/>
    <w:basedOn w:val="731"/>
    <w:uiPriority w:val="1"/>
    <w:qFormat/>
    <w:pPr>
      <w:jc w:val="left"/>
    </w:pPr>
    <w:rPr>
      <w:rFonts w:ascii="宋体" w:hAnsi="宋体" w:cs="宋体"/>
      <w:sz w:val="22"/>
      <w:lang w:val="zh-CN" w:bidi="zh-CN"/>
    </w:rPr>
  </w:style>
  <w:style w:type="table" w:styleId="1042" w:customStyle="1">
    <w:name w:val="网格型1"/>
    <w:basedOn w:val="1043"/>
    <w:uiPriority w:val="0"/>
    <w:qFormat/>
    <w:pPr>
      <w:jc w:val="both"/>
      <w:widowControl w:val="off"/>
    </w:pPr>
    <w:tblPr/>
  </w:style>
  <w:style w:type="table" w:styleId="1043" w:customStyle="1">
    <w:name w:val="普通表格1"/>
    <w:uiPriority w:val="99"/>
    <w:unhideWhenUsed/>
    <w:qFormat/>
    <w:tblPr>
      <w:tblCellMar>
        <w:left w:w="0" w:type="dxa"/>
        <w:top w:w="0" w:type="dxa"/>
        <w:right w:w="0" w:type="dxa"/>
        <w:bottom w:w="0" w:type="dxa"/>
      </w:tblCellMar>
    </w:tblPr>
  </w:style>
  <w:style w:type="character" w:styleId="1044" w:customStyle="1">
    <w:name w:val="cfdate"/>
    <w:basedOn w:val="936"/>
    <w:uiPriority w:val="0"/>
    <w:qFormat/>
    <w:rPr>
      <w:color w:val="333333"/>
      <w:sz w:val="18"/>
      <w:szCs w:val="18"/>
    </w:rPr>
  </w:style>
  <w:style w:type="character" w:styleId="1045" w:customStyle="1">
    <w:name w:val="next"/>
    <w:basedOn w:val="936"/>
    <w:uiPriority w:val="0"/>
    <w:qFormat/>
    <w:rPr>
      <w:color w:val="888888"/>
    </w:rPr>
  </w:style>
  <w:style w:type="character" w:styleId="1046" w:customStyle="1">
    <w:name w:val="next1"/>
    <w:basedOn w:val="936"/>
    <w:uiPriority w:val="0"/>
    <w:qFormat/>
    <w:rPr>
      <w:rFonts w:ascii="微软雅黑" w:hAnsi="微软雅黑" w:eastAsia="微软雅黑" w:cs="微软雅黑"/>
      <w:sz w:val="21"/>
      <w:szCs w:val="21"/>
    </w:rPr>
  </w:style>
  <w:style w:type="character" w:styleId="1047" w:customStyle="1">
    <w:name w:val="prev2"/>
    <w:basedOn w:val="936"/>
    <w:uiPriority w:val="0"/>
    <w:qFormat/>
    <w:rPr>
      <w:color w:val="888888"/>
    </w:rPr>
  </w:style>
  <w:style w:type="character" w:styleId="1048" w:customStyle="1">
    <w:name w:val="prev3"/>
    <w:basedOn w:val="936"/>
    <w:uiPriority w:val="0"/>
    <w:qFormat/>
    <w:rPr>
      <w:rFonts w:hint="eastAsia" w:ascii="微软雅黑" w:hAnsi="微软雅黑" w:eastAsia="微软雅黑" w:cs="微软雅黑"/>
      <w:sz w:val="21"/>
      <w:szCs w:val="21"/>
    </w:rPr>
  </w:style>
  <w:style w:type="character" w:styleId="1049" w:customStyle="1">
    <w:name w:val="redfilefwwh"/>
    <w:basedOn w:val="936"/>
    <w:uiPriority w:val="0"/>
    <w:qFormat/>
    <w:rPr>
      <w:color w:val="ba2636"/>
      <w:sz w:val="18"/>
      <w:szCs w:val="18"/>
    </w:rPr>
  </w:style>
  <w:style w:type="character" w:styleId="1050" w:customStyle="1">
    <w:name w:val="qxdate"/>
    <w:basedOn w:val="936"/>
    <w:uiPriority w:val="0"/>
    <w:qFormat/>
    <w:rPr>
      <w:color w:val="333333"/>
      <w:sz w:val="18"/>
      <w:szCs w:val="18"/>
    </w:rPr>
  </w:style>
  <w:style w:type="character" w:styleId="1051" w:customStyle="1">
    <w:name w:val="displayarti"/>
    <w:basedOn w:val="936"/>
    <w:uiPriority w:val="0"/>
    <w:qFormat/>
    <w:rPr>
      <w:color w:val="ffffff"/>
      <w:shd w:val="clear" w:color="auto" w:fill="a00000"/>
    </w:rPr>
  </w:style>
  <w:style w:type="character" w:styleId="1052" w:customStyle="1">
    <w:name w:val="gjfg"/>
    <w:basedOn w:val="936"/>
    <w:uiPriority w:val="0"/>
    <w:qFormat/>
  </w:style>
  <w:style w:type="character" w:styleId="1053" w:customStyle="1">
    <w:name w:val="redfilenumber"/>
    <w:basedOn w:val="936"/>
    <w:uiPriority w:val="0"/>
    <w:qFormat/>
    <w:rPr>
      <w:color w:val="ba2636"/>
      <w:sz w:val="18"/>
      <w:szCs w:val="18"/>
    </w:rPr>
  </w:style>
  <w:style w:type="character" w:styleId="1054" w:customStyle="1">
    <w:name w:val="prev"/>
    <w:basedOn w:val="936"/>
    <w:uiPriority w:val="0"/>
    <w:qFormat/>
    <w:rPr>
      <w:color w:val="888888"/>
    </w:rPr>
  </w:style>
  <w:style w:type="character" w:styleId="1055" w:customStyle="1">
    <w:name w:val="prev1"/>
    <w:basedOn w:val="936"/>
    <w:uiPriority w:val="0"/>
    <w:qFormat/>
    <w:rPr>
      <w:rFonts w:ascii="微软雅黑" w:hAnsi="微软雅黑" w:eastAsia="微软雅黑" w:cs="微软雅黑"/>
      <w:sz w:val="21"/>
      <w:szCs w:val="21"/>
    </w:rPr>
  </w:style>
  <w:style w:type="character" w:styleId="1056" w:customStyle="1">
    <w:name w:val="next2"/>
    <w:basedOn w:val="936"/>
    <w:uiPriority w:val="0"/>
    <w:qFormat/>
    <w:rPr>
      <w:color w:val="888888"/>
    </w:rPr>
  </w:style>
  <w:style w:type="character" w:styleId="1057" w:customStyle="1">
    <w:name w:val="next3"/>
    <w:basedOn w:val="936"/>
    <w:uiPriority w:val="0"/>
    <w:qFormat/>
    <w:rPr>
      <w:rFonts w:hint="eastAsia" w:ascii="微软雅黑" w:hAnsi="微软雅黑" w:eastAsia="微软雅黑" w:cs="微软雅黑"/>
      <w:sz w:val="21"/>
      <w:szCs w:val="21"/>
    </w:rPr>
  </w:style>
  <w:style w:type="character" w:styleId="1058" w:customStyle="1">
    <w:name w:val="纯文本 字符"/>
    <w:basedOn w:val="741"/>
    <w:link w:val="752"/>
    <w:uiPriority w:val="0"/>
    <w:qFormat/>
    <w:rPr>
      <w:rFonts w:ascii="宋体" w:hAnsi="Courier New" w:cs="Courier New"/>
      <w:sz w:val="21"/>
      <w:szCs w:val="21"/>
    </w:rPr>
  </w:style>
  <w:style w:type="paragraph" w:styleId="1059" w:customStyle="1">
    <w:name w:val="目录 22"/>
    <w:basedOn w:val="731"/>
    <w:next w:val="731"/>
    <w:uiPriority w:val="0"/>
    <w:semiHidden/>
    <w:qFormat/>
    <w:pPr>
      <w:ind w:left="210"/>
      <w:jc w:val="left"/>
    </w:pPr>
    <w:rPr>
      <w:smallCaps/>
      <w:szCs w:val="24"/>
    </w:rPr>
  </w:style>
  <w:style w:type="character" w:styleId="1060" w:customStyle="1">
    <w:name w:val="批注文字 字符"/>
    <w:basedOn w:val="741"/>
    <w:link w:val="749"/>
    <w:uiPriority w:val="99"/>
    <w:semiHidden/>
    <w:qFormat/>
    <w:rPr>
      <w:sz w:val="21"/>
      <w:szCs w:val="22"/>
    </w:rPr>
  </w:style>
  <w:style w:type="character" w:styleId="1061" w:customStyle="1">
    <w:name w:val="批注主题 字符"/>
    <w:basedOn w:val="1060"/>
    <w:link w:val="768"/>
    <w:uiPriority w:val="99"/>
    <w:semiHidden/>
    <w:qFormat/>
    <w:rPr>
      <w:b/>
      <w:bCs/>
      <w:sz w:val="21"/>
      <w:szCs w:val="22"/>
    </w:rPr>
  </w:style>
  <w:style w:type="character" w:styleId="1062" w:customStyle="1">
    <w:name w:val="批注框文本 字符"/>
    <w:basedOn w:val="741"/>
    <w:link w:val="755"/>
    <w:uiPriority w:val="99"/>
    <w:semiHidden/>
    <w:qFormat/>
    <w:rPr>
      <w:sz w:val="18"/>
      <w:szCs w:val="18"/>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郁永俊</dc:creator>
  <cp:lastModifiedBy>庄瑞琦</cp:lastModifiedBy>
  <cp:revision>5</cp:revision>
  <dcterms:created xsi:type="dcterms:W3CDTF">2025-11-26T02:17:00Z</dcterms:created>
  <dcterms:modified xsi:type="dcterms:W3CDTF">2025-12-01T03:20:26Z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eyJoZGlkIjoiMDJhNzRjNjE5ZTBiZWVkNGZlOTUwMjgzYTRkNmQ0NDQiLCJ1c2VySWQiOiI1NDQwODEzMzkifQ==</vt:lpwstr>
  </property>
  <property fmtid="{D5CDD505-2E9C-101B-9397-08002B2CF9AE}" pid="3" name="KSOProductBuildVer">
    <vt:lpwstr>2052-12.1.0.23539</vt:lpwstr>
  </property>
  <property fmtid="{D5CDD505-2E9C-101B-9397-08002B2CF9AE}" pid="4" name="ICV">
    <vt:lpwstr>F8EBB95D947E4288B606D00DFE3E057C_13</vt:lpwstr>
  </property>
</Properties>
</file>